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center"/>
        <w:rPr/>
      </w:pPr>
      <w:r>
        <w:rPr/>
        <w:drawing>
          <wp:inline distT="0" distB="0" distL="0" distR="0">
            <wp:extent cx="790575" cy="857250"/>
            <wp:effectExtent l="0" t="0" r="0" b="0"/>
            <wp:docPr id="1"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descr=""/>
                    <pic:cNvPicPr>
                      <a:picLocks noChangeAspect="1" noChangeArrowheads="1"/>
                    </pic:cNvPicPr>
                  </pic:nvPicPr>
                  <pic:blipFill>
                    <a:blip r:embed="rId2"/>
                    <a:stretch>
                      <a:fillRect/>
                    </a:stretch>
                  </pic:blipFill>
                  <pic:spPr bwMode="auto">
                    <a:xfrm>
                      <a:off x="0" y="0"/>
                      <a:ext cx="790575" cy="857250"/>
                    </a:xfrm>
                    <a:prstGeom prst="rect">
                      <a:avLst/>
                    </a:prstGeom>
                  </pic:spPr>
                </pic:pic>
              </a:graphicData>
            </a:graphic>
          </wp:inline>
        </w:drawing>
      </w:r>
    </w:p>
    <w:p>
      <w:pPr>
        <w:pStyle w:val="Normal"/>
        <w:spacing w:lineRule="auto" w:line="240"/>
        <w:jc w:val="center"/>
        <w:rPr>
          <w:rFonts w:ascii="Calibri" w:hAnsi="Calibri"/>
          <w:color w:val="1C1C1C"/>
          <w:sz w:val="24"/>
          <w:szCs w:val="24"/>
        </w:rPr>
      </w:pPr>
      <w:r>
        <w:rPr>
          <w:rFonts w:eastAsia="Calibri" w:cs="Calibri" w:ascii="Calibri" w:hAnsi="Calibri"/>
          <w:b/>
          <w:color w:val="1C1C1C"/>
          <w:sz w:val="24"/>
          <w:szCs w:val="24"/>
        </w:rPr>
        <w:t>MINISTÉRIO DA DEFESA</w:t>
      </w:r>
    </w:p>
    <w:p>
      <w:pPr>
        <w:pStyle w:val="Normal"/>
        <w:spacing w:lineRule="auto" w:line="240"/>
        <w:jc w:val="center"/>
        <w:rPr>
          <w:rFonts w:ascii="Calibri" w:hAnsi="Calibri"/>
          <w:color w:val="1C1C1C"/>
          <w:sz w:val="24"/>
          <w:szCs w:val="24"/>
        </w:rPr>
      </w:pPr>
      <w:r>
        <w:rPr>
          <w:rFonts w:eastAsia="Calibri" w:cs="Calibri" w:ascii="Calibri" w:hAnsi="Calibri"/>
          <w:b/>
          <w:color w:val="1C1C1C"/>
          <w:sz w:val="24"/>
          <w:szCs w:val="24"/>
        </w:rPr>
        <w:t>EXÉRCITO BRASILEIRO</w:t>
      </w:r>
    </w:p>
    <w:p>
      <w:pPr>
        <w:pStyle w:val="Normal"/>
        <w:jc w:val="center"/>
        <w:rPr>
          <w:rFonts w:ascii="Calibri" w:hAnsi="Calibri"/>
          <w:color w:val="1C1C1C"/>
          <w:sz w:val="24"/>
          <w:szCs w:val="24"/>
        </w:rPr>
      </w:pPr>
      <w:r>
        <w:rPr>
          <w:rFonts w:ascii="Calibri" w:hAnsi="Calibri"/>
          <w:b/>
          <w:color w:val="1C1C1C"/>
          <w:sz w:val="24"/>
          <w:szCs w:val="24"/>
        </w:rPr>
        <w:t>CENTRO DE PREPARAÇÃO DE OFICIAIS DA RESERVA DO RECIFE</w:t>
      </w:r>
    </w:p>
    <w:p>
      <w:pPr>
        <w:pStyle w:val="Normal"/>
        <w:tabs>
          <w:tab w:val="left" w:pos="1418" w:leader="none"/>
        </w:tabs>
        <w:snapToGrid w:val="false"/>
        <w:spacing w:lineRule="auto" w:line="240"/>
        <w:jc w:val="center"/>
        <w:rPr>
          <w:rFonts w:ascii="Calibri" w:hAnsi="Calibri"/>
          <w:color w:val="1C1C1C"/>
          <w:sz w:val="24"/>
          <w:szCs w:val="24"/>
        </w:rPr>
      </w:pPr>
      <w:r>
        <w:rPr>
          <w:rFonts w:eastAsia="Calibri" w:cs="Calibri" w:ascii="Calibri" w:hAnsi="Calibri"/>
          <w:b/>
          <w:bCs/>
          <w:color w:val="1C1C1C"/>
          <w:sz w:val="24"/>
          <w:szCs w:val="24"/>
          <w:lang w:val="en-US"/>
        </w:rPr>
        <w:t>(CPOR / 7ª RM / 1933)</w:t>
      </w:r>
    </w:p>
    <w:p>
      <w:pPr>
        <w:pStyle w:val="Normal"/>
        <w:spacing w:lineRule="auto" w:line="240"/>
        <w:jc w:val="center"/>
        <w:rPr>
          <w:rFonts w:ascii="Calibri" w:hAnsi="Calibri"/>
          <w:color w:val="1C1C1C"/>
          <w:sz w:val="24"/>
          <w:szCs w:val="24"/>
        </w:rPr>
      </w:pPr>
      <w:r>
        <w:rPr>
          <w:rFonts w:eastAsia="Calibri" w:cs="Calibri" w:ascii="Calibri" w:hAnsi="Calibri"/>
          <w:b/>
          <w:color w:val="1C1C1C"/>
          <w:sz w:val="24"/>
          <w:szCs w:val="24"/>
        </w:rPr>
        <w:t>*UASG 160191*</w:t>
      </w:r>
    </w:p>
    <w:p>
      <w:pPr>
        <w:pStyle w:val="Normal"/>
        <w:spacing w:lineRule="auto" w:line="240"/>
        <w:jc w:val="center"/>
        <w:rPr>
          <w:rFonts w:ascii="Calibri" w:hAnsi="Calibri"/>
          <w:color w:val="1C1C1C"/>
          <w:sz w:val="24"/>
          <w:szCs w:val="24"/>
        </w:rPr>
      </w:pPr>
      <w:r>
        <w:rPr>
          <w:rFonts w:eastAsia="Calibri" w:cs="Calibri" w:ascii="Calibri" w:hAnsi="Calibri"/>
          <w:color w:val="1C1C1C"/>
          <w:sz w:val="24"/>
          <w:szCs w:val="24"/>
        </w:rPr>
        <w:t>AVENIDA DEZESSETE DE AGOSTO Nº 1020 – BAIRRO CASA FORTE – RECIFE / PE</w:t>
      </w:r>
    </w:p>
    <w:p>
      <w:pPr>
        <w:pStyle w:val="Normal"/>
        <w:spacing w:lineRule="auto" w:line="240"/>
        <w:jc w:val="center"/>
        <w:rPr>
          <w:rFonts w:ascii="Calibri" w:hAnsi="Calibri"/>
          <w:b w:val="false"/>
          <w:b w:val="false"/>
          <w:bCs w:val="false"/>
          <w:color w:val="1C1C1C"/>
          <w:sz w:val="24"/>
          <w:szCs w:val="24"/>
        </w:rPr>
      </w:pPr>
      <w:r>
        <w:rPr>
          <w:rFonts w:eastAsia="Calibri" w:cs="Calibri" w:ascii="Calibri" w:hAnsi="Calibri"/>
          <w:b w:val="false"/>
          <w:bCs w:val="false"/>
          <w:i/>
          <w:iCs/>
          <w:color w:val="1C1C1C"/>
          <w:sz w:val="24"/>
          <w:szCs w:val="24"/>
        </w:rPr>
        <w:t>CEP: 52.060-335 - FONE (81) 3441-3970 – E-mail: cporr.salc@gmail.com</w:t>
      </w:r>
    </w:p>
    <w:p>
      <w:pPr>
        <w:pStyle w:val="Normal"/>
        <w:spacing w:lineRule="auto" w:line="276"/>
        <w:jc w:val="center"/>
        <w:rPr>
          <w:rFonts w:cs="Arial"/>
          <w:b/>
          <w:b/>
          <w:bCs/>
          <w:color w:themeColor="text1"/>
        </w:rPr>
      </w:pPr>
      <w:r>
        <w:rPr>
          <w:rFonts w:cs="Arial"/>
          <w:b/>
          <w:bCs/>
          <w:color w:themeColor="text1"/>
        </w:rPr>
      </w:r>
    </w:p>
    <w:p>
      <w:pPr>
        <w:pStyle w:val="Normal"/>
        <w:spacing w:lineRule="auto" w:line="276"/>
        <w:jc w:val="center"/>
        <w:rPr/>
      </w:pPr>
      <w:r>
        <w:rPr>
          <w:rFonts w:cs="Arial" w:ascii="Calibri" w:hAnsi="Calibri"/>
          <w:b/>
          <w:bCs/>
          <w:color w:val="1C1C1C"/>
          <w:sz w:val="24"/>
          <w:szCs w:val="24"/>
        </w:rPr>
        <w:t xml:space="preserve">AVISO DE DISPENSA ELETRÔNICA Nº </w:t>
      </w:r>
      <w:r>
        <w:rPr>
          <w:rFonts w:cs="Arial" w:ascii="Calibri" w:hAnsi="Calibri"/>
          <w:b/>
          <w:bCs/>
          <w:color w:val="1C1C1C"/>
          <w:sz w:val="24"/>
          <w:szCs w:val="24"/>
        </w:rPr>
        <w:t>06</w:t>
      </w:r>
      <w:r>
        <w:rPr>
          <w:rFonts w:cs="Arial" w:ascii="Calibri" w:hAnsi="Calibri"/>
          <w:b/>
          <w:bCs/>
          <w:color w:val="1C1C1C"/>
          <w:sz w:val="24"/>
          <w:szCs w:val="24"/>
        </w:rPr>
        <w:t>/2023</w:t>
      </w:r>
    </w:p>
    <w:p>
      <w:pPr>
        <w:pStyle w:val="Normal"/>
        <w:spacing w:lineRule="auto" w:line="276" w:before="0" w:after="120"/>
        <w:ind w:right="-15" w:hanging="0"/>
        <w:jc w:val="center"/>
        <w:rPr>
          <w:rFonts w:ascii="Calibri" w:hAnsi="Calibri"/>
          <w:color w:val="1C1C1C"/>
          <w:sz w:val="24"/>
          <w:szCs w:val="24"/>
        </w:rPr>
      </w:pPr>
      <w:r>
        <w:rPr>
          <w:rFonts w:cs="Arial" w:ascii="Calibri" w:hAnsi="Calibri"/>
          <w:b/>
          <w:bCs/>
          <w:color w:val="1C1C1C"/>
          <w:sz w:val="24"/>
          <w:szCs w:val="24"/>
        </w:rPr>
        <w:t>(Processo Administrativo n.°64215.000661/2023-05)</w:t>
      </w:r>
    </w:p>
    <w:p>
      <w:pPr>
        <w:pStyle w:val="Normal"/>
        <w:rPr>
          <w:rFonts w:cs="Arial"/>
        </w:rPr>
      </w:pPr>
      <w:r>
        <w:rPr>
          <w:rFonts w:cs="Arial"/>
        </w:rPr>
      </w:r>
    </w:p>
    <w:p>
      <w:pPr>
        <w:pStyle w:val="Normal"/>
        <w:snapToGrid w:val="false"/>
        <w:spacing w:lineRule="auto" w:line="276" w:before="0" w:after="120"/>
        <w:ind w:right="-30" w:firstLine="540"/>
        <w:jc w:val="both"/>
        <w:rPr>
          <w:rFonts w:ascii="Calibri" w:hAnsi="Calibri"/>
          <w:sz w:val="24"/>
          <w:szCs w:val="24"/>
        </w:rPr>
      </w:pPr>
      <w:r>
        <w:rPr>
          <w:rFonts w:cs="Arial" w:ascii="Calibri" w:hAnsi="Calibri"/>
          <w:color w:val="000000" w:themeColor="text1"/>
          <w:sz w:val="24"/>
          <w:szCs w:val="24"/>
        </w:rPr>
        <w:t xml:space="preserve">Torna-se público que o Centro de Preparação de Oficiais da Reserva do Recife - CPOR/R, por meio da </w:t>
      </w:r>
      <w:r>
        <w:rPr>
          <w:rFonts w:eastAsia="Arial" w:cs="Arial" w:ascii="Calibri" w:hAnsi="Calibri"/>
          <w:color w:val="000000" w:themeColor="text1"/>
          <w:sz w:val="24"/>
          <w:szCs w:val="24"/>
        </w:rPr>
        <w:t>Seção de Aquisições, Licitações e Contratos</w:t>
      </w:r>
      <w:r>
        <w:rPr>
          <w:rFonts w:cs="Arial" w:ascii="Calibri" w:hAnsi="Calibri"/>
          <w:color w:val="000000" w:themeColor="text1"/>
          <w:sz w:val="24"/>
          <w:szCs w:val="24"/>
        </w:rPr>
        <w:t xml:space="preserve">, realizará Dispensa Eletrônica, </w:t>
      </w:r>
      <w:r>
        <w:rPr>
          <w:rFonts w:cs="Arial" w:ascii="Calibri" w:hAnsi="Calibri"/>
          <w:bCs/>
          <w:color w:val="000000" w:themeColor="text1"/>
          <w:sz w:val="24"/>
          <w:szCs w:val="24"/>
        </w:rPr>
        <w:t>com critério de julgamento</w:t>
      </w:r>
      <w:r>
        <w:rPr>
          <w:rFonts w:cs="Arial" w:ascii="Calibri" w:hAnsi="Calibri"/>
          <w:b/>
          <w:bCs/>
          <w:color w:val="000000" w:themeColor="text1"/>
          <w:sz w:val="24"/>
          <w:szCs w:val="24"/>
        </w:rPr>
        <w:t xml:space="preserve"> </w:t>
      </w:r>
      <w:r>
        <w:rPr>
          <w:rFonts w:cs="Arial" w:ascii="Calibri" w:hAnsi="Calibri"/>
          <w:i/>
          <w:color w:val="FF0000"/>
          <w:sz w:val="24"/>
          <w:szCs w:val="24"/>
        </w:rPr>
        <w:t>menor preço</w:t>
      </w:r>
      <w:r>
        <w:rPr>
          <w:rFonts w:cs="Arial" w:ascii="Calibri" w:hAnsi="Calibri"/>
          <w:b/>
          <w:bCs/>
          <w:i/>
          <w:color w:val="FF0000"/>
          <w:sz w:val="24"/>
          <w:szCs w:val="24"/>
        </w:rPr>
        <w:t xml:space="preserve">, </w:t>
      </w:r>
      <w:r>
        <w:rPr>
          <w:rFonts w:cs="Arial" w:ascii="Calibri" w:hAnsi="Calibri"/>
          <w:color w:val="000000" w:themeColor="text1"/>
          <w:sz w:val="24"/>
          <w:szCs w:val="24"/>
        </w:rPr>
        <w:t>na hipótese do art. 75</w:t>
      </w:r>
      <w:r>
        <w:rPr>
          <w:rFonts w:cs="Arial" w:ascii="Calibri" w:hAnsi="Calibri"/>
          <w:i/>
          <w:iCs/>
          <w:color w:val="000000" w:themeColor="text1"/>
          <w:sz w:val="24"/>
          <w:szCs w:val="24"/>
        </w:rPr>
        <w:t xml:space="preserve">, </w:t>
      </w:r>
      <w:r>
        <w:rPr>
          <w:rFonts w:cs="Arial" w:ascii="Calibri" w:hAnsi="Calibri"/>
          <w:i/>
          <w:iCs/>
          <w:color w:val="FF0000"/>
          <w:sz w:val="24"/>
          <w:szCs w:val="24"/>
        </w:rPr>
        <w:t xml:space="preserve">inciso </w:t>
      </w:r>
      <w:r>
        <w:rPr>
          <w:rFonts w:cs="Arial" w:ascii="Calibri" w:hAnsi="Calibri"/>
          <w:b/>
          <w:i/>
          <w:iCs/>
          <w:color w:val="FF0000"/>
          <w:sz w:val="24"/>
          <w:szCs w:val="24"/>
        </w:rPr>
        <w:t>II</w:t>
      </w:r>
      <w:r>
        <w:rPr>
          <w:rFonts w:cs="Arial" w:ascii="Calibri" w:hAnsi="Calibri"/>
          <w:i/>
          <w:iCs/>
          <w:color w:val="FF0000"/>
          <w:sz w:val="24"/>
          <w:szCs w:val="24"/>
        </w:rPr>
        <w:t>,</w:t>
      </w:r>
      <w:r>
        <w:rPr>
          <w:rFonts w:cs="Arial" w:ascii="Calibri" w:hAnsi="Calibri"/>
          <w:color w:val="FF0000"/>
          <w:sz w:val="24"/>
          <w:szCs w:val="24"/>
        </w:rPr>
        <w:t xml:space="preserve"> </w:t>
      </w:r>
      <w:r>
        <w:rPr>
          <w:rFonts w:cs="Arial" w:ascii="Calibri" w:hAnsi="Calibri"/>
          <w:bCs/>
          <w:sz w:val="24"/>
          <w:szCs w:val="24"/>
        </w:rPr>
        <w:t>nos termos da Lei nº 14.133, de 1º de abril de 2021, da Instrução Normativa SEGES/ME nº 67/2021 e demais legislação aplicável</w:t>
      </w:r>
      <w:r>
        <w:rPr>
          <w:rFonts w:cs="Arial" w:ascii="Calibri" w:hAnsi="Calibri"/>
          <w:color w:val="000000"/>
          <w:sz w:val="24"/>
          <w:szCs w:val="24"/>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pPr>
      <w:r>
        <w:rPr>
          <w:rFonts w:cs="Arial" w:ascii="Calibri" w:hAnsi="Calibri"/>
          <w:color w:val="000000" w:themeColor="text1"/>
          <w:sz w:val="24"/>
          <w:szCs w:val="24"/>
        </w:rPr>
        <w:t xml:space="preserve">Data da sessão: </w:t>
      </w:r>
      <w:r>
        <w:rPr>
          <w:rFonts w:cs="Arial" w:ascii="Calibri" w:hAnsi="Calibri"/>
          <w:color w:val="000000" w:themeColor="text1"/>
          <w:sz w:val="24"/>
          <w:szCs w:val="24"/>
        </w:rPr>
        <w:t>13 de março de 2023</w:t>
      </w:r>
    </w:p>
    <w:p>
      <w:pPr>
        <w:pStyle w:val="Normal"/>
        <w:rPr>
          <w:rFonts w:cs="Arial"/>
          <w:color w:val="000000" w:themeColor="text1"/>
          <w:szCs w:val="20"/>
        </w:rPr>
      </w:pPr>
      <w:r>
        <w:rPr>
          <w:rFonts w:cs="Arial" w:ascii="Calibri" w:hAnsi="Calibri"/>
          <w:color w:val="000000" w:themeColor="text1"/>
          <w:sz w:val="24"/>
          <w:szCs w:val="24"/>
        </w:rPr>
        <w:t xml:space="preserve">Link: https://www.gov.br/compras/pt-br/ </w:t>
      </w:r>
    </w:p>
    <w:p>
      <w:pPr>
        <w:pStyle w:val="Normal"/>
        <w:rPr/>
      </w:pPr>
      <w:r>
        <w:rPr>
          <w:rFonts w:cs="Arial" w:ascii="Calibri" w:hAnsi="Calibri"/>
          <w:i w:val="false"/>
          <w:iCs w:val="false"/>
          <w:color w:val="000000" w:themeColor="text1"/>
          <w:sz w:val="24"/>
          <w:szCs w:val="24"/>
        </w:rPr>
        <w:t xml:space="preserve">Horário da Fase de Lances: </w:t>
      </w:r>
      <w:r>
        <w:rPr>
          <w:rFonts w:cs="Arial" w:ascii="Calibri" w:hAnsi="Calibri"/>
          <w:i w:val="false"/>
          <w:iCs w:val="false"/>
          <w:color w:val="000000" w:themeColor="text1"/>
          <w:sz w:val="24"/>
          <w:szCs w:val="24"/>
        </w:rPr>
        <w:t>9</w:t>
      </w:r>
      <w:r>
        <w:rPr>
          <w:rFonts w:cs="Arial" w:ascii="Calibri" w:hAnsi="Calibri"/>
          <w:i w:val="false"/>
          <w:iCs w:val="false"/>
          <w:color w:val="000000" w:themeColor="text1"/>
          <w:sz w:val="24"/>
          <w:szCs w:val="24"/>
        </w:rPr>
        <w:t>:00 às 1</w:t>
      </w:r>
      <w:r>
        <w:rPr>
          <w:rFonts w:cs="Arial" w:ascii="Calibri" w:hAnsi="Calibri"/>
          <w:i w:val="false"/>
          <w:iCs w:val="false"/>
          <w:color w:val="000000" w:themeColor="text1"/>
          <w:sz w:val="24"/>
          <w:szCs w:val="24"/>
        </w:rPr>
        <w:t>5</w:t>
      </w:r>
      <w:r>
        <w:rPr>
          <w:rFonts w:cs="Arial" w:ascii="Calibri" w:hAnsi="Calibri"/>
          <w:i w:val="false"/>
          <w:iCs w:val="false"/>
          <w:color w:val="000000" w:themeColor="text1"/>
          <w:sz w:val="24"/>
          <w:szCs w:val="24"/>
        </w:rPr>
        <w:t>:00</w:t>
      </w:r>
    </w:p>
    <w:p>
      <w:pPr>
        <w:pStyle w:val="PADRO"/>
        <w:keepNext/>
        <w:widowControl/>
        <w:shd w:val="clear" w:color="auto" w:fill="auto"/>
        <w:spacing w:before="120" w:after="120"/>
        <w:ind w:left="360" w:hanging="0"/>
        <w:rPr>
          <w:rFonts w:ascii="Calibri" w:hAnsi="Calibri" w:cs="Arial"/>
          <w:b/>
          <w:b/>
          <w:sz w:val="24"/>
          <w:szCs w:val="24"/>
        </w:rPr>
      </w:pPr>
      <w:r>
        <w:rPr>
          <w:rFonts w:cs="Arial" w:ascii="Calibri" w:hAnsi="Calibri"/>
          <w:b/>
          <w:sz w:val="24"/>
          <w:szCs w:val="24"/>
        </w:rPr>
      </w:r>
    </w:p>
    <w:p>
      <w:pPr>
        <w:pStyle w:val="PADRO"/>
        <w:keepNext/>
        <w:widowControl/>
        <w:numPr>
          <w:ilvl w:val="0"/>
          <w:numId w:val="1"/>
        </w:numPr>
        <w:shd w:val="clear" w:color="auto" w:fill="auto"/>
        <w:spacing w:before="120" w:after="120"/>
        <w:rPr>
          <w:rFonts w:ascii="Arial" w:hAnsi="Arial" w:cs="Arial"/>
          <w:b/>
          <w:b/>
        </w:rPr>
      </w:pPr>
      <w:bookmarkStart w:id="0" w:name="_GoBack"/>
      <w:bookmarkEnd w:id="0"/>
      <w:r>
        <w:rPr>
          <w:rFonts w:cs="Arial" w:ascii="Arial" w:hAnsi="Arial"/>
          <w:b/>
        </w:rPr>
        <w:t>OBJETO DA CONTRATAÇÃO DIRETA</w:t>
      </w:r>
    </w:p>
    <w:p>
      <w:pPr>
        <w:pStyle w:val="PADRO"/>
        <w:keepNext/>
        <w:widowControl/>
        <w:numPr>
          <w:ilvl w:val="1"/>
          <w:numId w:val="1"/>
        </w:numPr>
        <w:shd w:val="clear" w:color="auto" w:fill="auto"/>
        <w:spacing w:before="120" w:after="120"/>
        <w:rPr>
          <w:rFonts w:ascii="Arial" w:hAnsi="Arial" w:cs="Arial"/>
          <w:szCs w:val="20"/>
        </w:rPr>
      </w:pPr>
      <w:r>
        <w:rPr>
          <w:rFonts w:cs="Arial" w:ascii="Arial" w:hAnsi="Arial"/>
          <w:color w:val="000000" w:themeColor="text1"/>
          <w:szCs w:val="20"/>
        </w:rPr>
        <w:t xml:space="preserve">O objeto da presente dispensa é a escolha da proposta mais vantajosa para a </w:t>
      </w:r>
      <w:r>
        <w:rPr>
          <w:rFonts w:cs="Arial" w:ascii="Arial" w:hAnsi="Arial"/>
          <w:color w:val="FF0000"/>
          <w:szCs w:val="20"/>
        </w:rPr>
        <w:t>contratação</w:t>
      </w:r>
      <w:r>
        <w:rPr>
          <w:rFonts w:cs="Arial" w:ascii="Arial" w:hAnsi="Arial"/>
          <w:color w:val="000000" w:themeColor="text1"/>
          <w:szCs w:val="20"/>
        </w:rPr>
        <w:t xml:space="preserve"> por dispensa de licitação de estandartes</w:t>
      </w:r>
      <w:r>
        <w:rPr>
          <w:rFonts w:cs="Arial" w:ascii="Arial" w:hAnsi="Arial"/>
          <w:b/>
          <w:bCs/>
          <w:color w:val="000000" w:themeColor="text1"/>
          <w:szCs w:val="20"/>
        </w:rPr>
        <w:t>,</w:t>
      </w:r>
      <w:r>
        <w:rPr>
          <w:rFonts w:cs="Arial" w:ascii="Arial" w:hAnsi="Arial"/>
          <w:color w:val="000000" w:themeColor="text1"/>
          <w:szCs w:val="20"/>
        </w:rPr>
        <w:t xml:space="preserve"> conforme condições, quantidades e exigências estabelecidas neste Aviso de Contratação Direta e seus anexos.</w:t>
      </w:r>
    </w:p>
    <w:p>
      <w:pPr>
        <w:pStyle w:val="PADRO"/>
        <w:keepNext/>
        <w:widowControl/>
        <w:numPr>
          <w:ilvl w:val="1"/>
          <w:numId w:val="1"/>
        </w:numPr>
        <w:shd w:val="clear" w:color="auto" w:fill="auto"/>
        <w:spacing w:before="120" w:after="120"/>
        <w:rPr/>
      </w:pPr>
      <w:r>
        <w:rPr>
          <w:rFonts w:cs="Arial" w:ascii="Arial" w:hAnsi="Arial"/>
          <w:i/>
          <w:iCs/>
          <w:color w:val="FF0000"/>
          <w:szCs w:val="20"/>
        </w:rPr>
        <w:t>A contratação será dividida em itens</w:t>
      </w:r>
      <w:r>
        <w:rPr>
          <w:rFonts w:cs="Arial" w:ascii="Arial" w:hAnsi="Arial"/>
          <w:b/>
          <w:bCs/>
          <w:i/>
          <w:iCs/>
          <w:color w:val="FF0000"/>
          <w:szCs w:val="20"/>
        </w:rPr>
        <w:t>,</w:t>
      </w:r>
      <w:r>
        <w:rPr>
          <w:rFonts w:cs="Arial" w:ascii="Arial" w:hAnsi="Arial"/>
          <w:i/>
          <w:iCs/>
          <w:color w:val="FF0000"/>
          <w:szCs w:val="20"/>
        </w:rPr>
        <w:t xml:space="preserve"> conforme tabela constante abaixo.</w:t>
      </w:r>
    </w:p>
    <w:tbl>
      <w:tblPr>
        <w:tblW w:w="9137" w:type="dxa"/>
        <w:jc w:val="left"/>
        <w:tblInd w:w="12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firstRow="1" w:noVBand="1" w:lastRow="0" w:firstColumn="1" w:lastColumn="0" w:noHBand="0" w:val="04a0"/>
      </w:tblPr>
      <w:tblGrid>
        <w:gridCol w:w="899"/>
        <w:gridCol w:w="3586"/>
        <w:gridCol w:w="1020"/>
        <w:gridCol w:w="900"/>
        <w:gridCol w:w="1425"/>
        <w:gridCol w:w="1306"/>
      </w:tblGrid>
      <w:tr>
        <w:trPr/>
        <w:tc>
          <w:tcPr>
            <w:tcW w:w="8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before="0" w:after="0"/>
              <w:jc w:val="center"/>
              <w:rPr>
                <w:rFonts w:ascii="Times" w:hAnsi="Times"/>
                <w:b/>
                <w:b/>
                <w:bCs/>
                <w:sz w:val="20"/>
                <w:szCs w:val="20"/>
              </w:rPr>
            </w:pPr>
            <w:r>
              <w:rPr>
                <w:rFonts w:ascii="Times" w:hAnsi="Times"/>
                <w:b/>
                <w:bCs/>
                <w:sz w:val="20"/>
                <w:szCs w:val="20"/>
              </w:rPr>
              <w:t>ITEM</w:t>
            </w:r>
          </w:p>
        </w:tc>
        <w:tc>
          <w:tcPr>
            <w:tcW w:w="35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before="0" w:after="0"/>
              <w:jc w:val="center"/>
              <w:rPr>
                <w:rFonts w:ascii="Times" w:hAnsi="Times"/>
                <w:b/>
                <w:b/>
                <w:bCs/>
                <w:sz w:val="20"/>
                <w:szCs w:val="20"/>
              </w:rPr>
            </w:pPr>
            <w:r>
              <w:rPr>
                <w:rFonts w:ascii="Times" w:hAnsi="Times"/>
                <w:b/>
                <w:bCs/>
                <w:sz w:val="20"/>
                <w:szCs w:val="20"/>
              </w:rPr>
              <w:t>DESCRIÇÃO</w:t>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before="0" w:after="0"/>
              <w:jc w:val="center"/>
              <w:rPr>
                <w:rFonts w:ascii="Times" w:hAnsi="Times"/>
                <w:b/>
                <w:b/>
                <w:bCs/>
                <w:sz w:val="20"/>
                <w:szCs w:val="20"/>
              </w:rPr>
            </w:pPr>
            <w:r>
              <w:rPr>
                <w:rFonts w:ascii="Times" w:hAnsi="Times"/>
                <w:b/>
                <w:bCs/>
                <w:sz w:val="20"/>
                <w:szCs w:val="20"/>
              </w:rPr>
              <w:t>UND</w:t>
            </w:r>
          </w:p>
        </w:tc>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before="0" w:after="0"/>
              <w:jc w:val="center"/>
              <w:rPr>
                <w:rFonts w:ascii="Times" w:hAnsi="Times"/>
                <w:b/>
                <w:b/>
                <w:bCs/>
                <w:sz w:val="20"/>
                <w:szCs w:val="20"/>
              </w:rPr>
            </w:pPr>
            <w:r>
              <w:rPr>
                <w:rFonts w:ascii="Times" w:hAnsi="Times"/>
                <w:b/>
                <w:bCs/>
                <w:sz w:val="20"/>
                <w:szCs w:val="20"/>
              </w:rPr>
              <w:t>QNT</w:t>
            </w:r>
          </w:p>
        </w:tc>
        <w:tc>
          <w:tcPr>
            <w:tcW w:w="1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before="0" w:after="0"/>
              <w:jc w:val="center"/>
              <w:rPr>
                <w:rFonts w:ascii="Times" w:hAnsi="Times"/>
                <w:b/>
                <w:b/>
                <w:bCs/>
                <w:sz w:val="20"/>
                <w:szCs w:val="20"/>
              </w:rPr>
            </w:pPr>
            <w:r>
              <w:rPr>
                <w:rFonts w:ascii="Times" w:hAnsi="Times"/>
                <w:b/>
                <w:bCs/>
                <w:sz w:val="20"/>
                <w:szCs w:val="20"/>
              </w:rPr>
              <w:t>Valor Unitário (R$)</w:t>
            </w:r>
          </w:p>
        </w:tc>
        <w:tc>
          <w:tcPr>
            <w:tcW w:w="13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before="0" w:after="0"/>
              <w:jc w:val="center"/>
              <w:rPr>
                <w:rFonts w:ascii="Times" w:hAnsi="Times"/>
                <w:b/>
                <w:b/>
                <w:bCs/>
                <w:sz w:val="20"/>
                <w:szCs w:val="20"/>
              </w:rPr>
            </w:pPr>
            <w:r>
              <w:rPr>
                <w:rFonts w:ascii="Times" w:hAnsi="Times"/>
                <w:b/>
                <w:bCs/>
                <w:sz w:val="20"/>
                <w:szCs w:val="20"/>
              </w:rPr>
              <w:t>Valor Total (R$)</w:t>
            </w:r>
          </w:p>
        </w:tc>
      </w:tr>
      <w:tr>
        <w:trPr/>
        <w:tc>
          <w:tcPr>
            <w:tcW w:w="8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lineRule="auto" w:line="240" w:before="0" w:after="0"/>
              <w:jc w:val="center"/>
              <w:rPr>
                <w:rFonts w:ascii="Times" w:hAnsi="Times" w:eastAsia="Times New Roman" w:cs="Times New Roman"/>
                <w:sz w:val="20"/>
                <w:szCs w:val="20"/>
                <w:lang w:eastAsia="pt-BR" w:bidi="ar-SA"/>
              </w:rPr>
            </w:pPr>
            <w:r>
              <w:rPr>
                <w:rFonts w:eastAsia="Times New Roman" w:cs="Times New Roman" w:ascii="Times" w:hAnsi="Times"/>
                <w:sz w:val="20"/>
                <w:szCs w:val="20"/>
                <w:lang w:eastAsia="pt-BR" w:bidi="ar-SA"/>
              </w:rPr>
              <w:t>01</w:t>
            </w:r>
          </w:p>
        </w:tc>
        <w:tc>
          <w:tcPr>
            <w:tcW w:w="35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Corpodetexto"/>
              <w:spacing w:lineRule="auto" w:line="240" w:before="0" w:after="0"/>
              <w:jc w:val="both"/>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t xml:space="preserve">Estandarte - distintivo para OM (Layout a combinar com OM do empenho). Medidas: 0,80 X 1,20M. Conforme Portaria Ministerial Nr 718, de 09 Jul 1987. Dupla – face. Confeccionadas em cetim de seda, sistema saco, com respectivos brasões bordados em ambas as faces, acompanhadas de laço e roseta, na cor de cada bandeira, para uso interno e externo; - 01 (hum) mastro de madeira revestido de veludo e galão, mastro com ponteira tipo lança, material metal cromado, de 28 a 30cm de altura, altura do mastro com lança de 2,30m; - talabarte em veludo na cor da bandeira e copo de metal cromado; conforme Imagem ilustrativa no Apêndice. Prazo de Entrega: 30 (trinta) dias, a contar do recebimento do empenho. - Validade da Proposta: 60 (sessenta) dias, a contar de sua apresentação. - Garantia do Material: 12 (doze) meses, para defeito de fabricação. </w:t>
            </w:r>
          </w:p>
          <w:p>
            <w:pPr>
              <w:pStyle w:val="Normal"/>
              <w:spacing w:lineRule="auto" w:line="240" w:before="0" w:after="0"/>
              <w:jc w:val="both"/>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spacing w:lineRule="auto" w:line="240" w:before="0" w:after="0"/>
              <w:jc w:val="center"/>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t>Und</w:t>
            </w:r>
          </w:p>
        </w:tc>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spacing w:lineRule="auto" w:line="240" w:before="0" w:after="0"/>
              <w:jc w:val="center"/>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t>02</w:t>
            </w:r>
          </w:p>
        </w:tc>
        <w:tc>
          <w:tcPr>
            <w:tcW w:w="1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lineRule="auto" w:line="240" w:before="0" w:after="0"/>
              <w:jc w:val="center"/>
              <w:rPr>
                <w:rFonts w:ascii="Times" w:hAnsi="Times"/>
                <w:b w:val="false"/>
                <w:b w:val="false"/>
                <w:bCs w:val="false"/>
                <w:i w:val="false"/>
                <w:i w:val="false"/>
                <w:strike w:val="false"/>
                <w:dstrike w:val="false"/>
                <w:outline w:val="false"/>
                <w:shadow w:val="false"/>
                <w:sz w:val="20"/>
                <w:szCs w:val="20"/>
                <w:u w:val="none"/>
                <w:em w:val="none"/>
              </w:rPr>
            </w:pPr>
            <w:r>
              <w:rPr>
                <w:rFonts w:ascii="Times" w:hAnsi="Times"/>
                <w:b w:val="false"/>
                <w:bCs w:val="false"/>
                <w:i w:val="false"/>
                <w:strike w:val="false"/>
                <w:dstrike w:val="false"/>
                <w:outline w:val="false"/>
                <w:shadow w:val="false"/>
                <w:sz w:val="20"/>
                <w:szCs w:val="20"/>
                <w:u w:val="none"/>
                <w:em w:val="none"/>
              </w:rPr>
              <w:t xml:space="preserve">R$ </w:t>
            </w:r>
            <w:r>
              <w:rPr>
                <w:rFonts w:eastAsia="Times New Roman" w:cs="Times New Roman" w:ascii="Times" w:hAnsi="Times"/>
                <w:b w:val="false"/>
                <w:bCs w:val="false"/>
                <w:i w:val="false"/>
                <w:strike w:val="false"/>
                <w:dstrike w:val="false"/>
                <w:outline w:val="false"/>
                <w:shadow w:val="false"/>
                <w:sz w:val="20"/>
                <w:szCs w:val="20"/>
                <w:u w:val="none"/>
                <w:em w:val="none"/>
                <w:lang w:eastAsia="pt-BR" w:bidi="ar-SA"/>
              </w:rPr>
              <w:t>1.250,00</w:t>
            </w:r>
          </w:p>
        </w:tc>
        <w:tc>
          <w:tcPr>
            <w:tcW w:w="13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lineRule="auto" w:line="360" w:before="0" w:after="0"/>
              <w:jc w:val="center"/>
              <w:rPr>
                <w:rFonts w:ascii="Times" w:hAnsi="Times"/>
                <w:b w:val="false"/>
                <w:b w:val="false"/>
                <w:bCs w:val="false"/>
                <w:i w:val="false"/>
                <w:i w:val="false"/>
                <w:strike w:val="false"/>
                <w:dstrike w:val="false"/>
                <w:outline w:val="false"/>
                <w:shadow w:val="false"/>
                <w:sz w:val="20"/>
                <w:szCs w:val="20"/>
                <w:u w:val="none"/>
                <w:em w:val="none"/>
              </w:rPr>
            </w:pPr>
            <w:r>
              <w:rPr>
                <w:rFonts w:ascii="Times" w:hAnsi="Times"/>
                <w:b w:val="false"/>
                <w:bCs w:val="false"/>
                <w:i w:val="false"/>
                <w:strike w:val="false"/>
                <w:dstrike w:val="false"/>
                <w:outline w:val="false"/>
                <w:shadow w:val="false"/>
                <w:sz w:val="20"/>
                <w:szCs w:val="20"/>
                <w:u w:val="none"/>
                <w:em w:val="none"/>
              </w:rPr>
              <w:t xml:space="preserve">R$ </w:t>
            </w:r>
            <w:r>
              <w:rPr>
                <w:rFonts w:eastAsia="Times New Roman" w:cs="Times New Roman" w:ascii="Times" w:hAnsi="Times"/>
                <w:b w:val="false"/>
                <w:bCs w:val="false"/>
                <w:i w:val="false"/>
                <w:strike w:val="false"/>
                <w:dstrike w:val="false"/>
                <w:outline w:val="false"/>
                <w:shadow w:val="false"/>
                <w:sz w:val="20"/>
                <w:szCs w:val="20"/>
                <w:u w:val="none"/>
                <w:em w:val="none"/>
                <w:lang w:eastAsia="pt-BR" w:bidi="ar-SA"/>
              </w:rPr>
              <w:t>2.500,00</w:t>
            </w:r>
          </w:p>
        </w:tc>
      </w:tr>
      <w:tr>
        <w:trPr/>
        <w:tc>
          <w:tcPr>
            <w:tcW w:w="89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lineRule="auto" w:line="240" w:before="0" w:after="0"/>
              <w:jc w:val="center"/>
              <w:rPr>
                <w:rFonts w:ascii="Times" w:hAnsi="Times" w:eastAsia="Times New Roman" w:cs="Times New Roman"/>
                <w:sz w:val="20"/>
                <w:szCs w:val="20"/>
                <w:lang w:eastAsia="pt-BR" w:bidi="ar-SA"/>
              </w:rPr>
            </w:pPr>
            <w:r>
              <w:rPr>
                <w:rFonts w:eastAsia="Times New Roman" w:cs="Times New Roman" w:ascii="Times" w:hAnsi="Times"/>
                <w:sz w:val="20"/>
                <w:szCs w:val="20"/>
                <w:lang w:eastAsia="pt-BR" w:bidi="ar-SA"/>
              </w:rPr>
              <w:t>02</w:t>
            </w:r>
          </w:p>
        </w:tc>
        <w:tc>
          <w:tcPr>
            <w:tcW w:w="35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Corpodetexto"/>
              <w:spacing w:lineRule="auto" w:line="240" w:before="0" w:after="0"/>
              <w:jc w:val="both"/>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t xml:space="preserve">Estandarte -Bandeira do Brasil para OM (Layout a combinar com OM do empenho). Medidas: 0,80 X 1,20M. Conforme Portaria Ministerial Nr 718, de 09 Jul 1987. Dupla – face. Confeccionadas em cetim de seda, sistema saco, com respectivos brasões bordados em ambas as faces, acompanhadas de laço e roseta, na cor de cada bandeira, para uso interno e externo; - 01 (hum) mastro de madeira revestido de veludo e galão, mastro com ponteira tipo lança, material metal cromado, de 28 a 30cm de altura, altura do mastro com lança de 2,30m; - talabarte em veludo na cor da bandeira e copo de metal cromado; conforme Imagem ilustrativa no Apêndice. Prazo de Entrega: 30 (trinta) dias, a contar do recebimento do empenho. - Validade da Proposta: 60 (sessenta) dias, a contar de sua apresentação. - Garantia do Material: 12 (doze) meses, para defeito de fabricação. </w:t>
            </w:r>
          </w:p>
          <w:p>
            <w:pPr>
              <w:pStyle w:val="Normal"/>
              <w:spacing w:lineRule="auto" w:line="240" w:before="0" w:after="0"/>
              <w:jc w:val="both"/>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r>
          </w:p>
        </w:tc>
        <w:tc>
          <w:tcPr>
            <w:tcW w:w="10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spacing w:lineRule="auto" w:line="240" w:before="0" w:after="0"/>
              <w:jc w:val="center"/>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t>Und</w:t>
            </w:r>
          </w:p>
        </w:tc>
        <w:tc>
          <w:tcPr>
            <w:tcW w:w="9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spacing w:lineRule="auto" w:line="240" w:before="0" w:after="0"/>
              <w:jc w:val="center"/>
              <w:rPr>
                <w:rFonts w:ascii="Times" w:hAnsi="Times"/>
                <w:b w:val="false"/>
                <w:b w:val="false"/>
                <w:i w:val="false"/>
                <w:i w:val="false"/>
                <w:strike w:val="false"/>
                <w:dstrike w:val="false"/>
                <w:outline w:val="false"/>
                <w:shadow w:val="false"/>
                <w:sz w:val="20"/>
                <w:szCs w:val="20"/>
                <w:u w:val="none"/>
                <w:em w:val="none"/>
              </w:rPr>
            </w:pPr>
            <w:r>
              <w:rPr>
                <w:rFonts w:ascii="Times" w:hAnsi="Times"/>
                <w:b w:val="false"/>
                <w:i w:val="false"/>
                <w:strike w:val="false"/>
                <w:dstrike w:val="false"/>
                <w:outline w:val="false"/>
                <w:shadow w:val="false"/>
                <w:sz w:val="20"/>
                <w:szCs w:val="20"/>
                <w:u w:val="none"/>
                <w:em w:val="none"/>
              </w:rPr>
              <w:t>02</w:t>
            </w:r>
          </w:p>
        </w:tc>
        <w:tc>
          <w:tcPr>
            <w:tcW w:w="1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lineRule="auto" w:line="240" w:before="0" w:after="0"/>
              <w:jc w:val="center"/>
              <w:rPr>
                <w:rFonts w:ascii="Times" w:hAnsi="Times"/>
                <w:b w:val="false"/>
                <w:b w:val="false"/>
                <w:bCs w:val="false"/>
                <w:i w:val="false"/>
                <w:i w:val="false"/>
                <w:strike w:val="false"/>
                <w:dstrike w:val="false"/>
                <w:outline w:val="false"/>
                <w:shadow w:val="false"/>
                <w:sz w:val="20"/>
                <w:szCs w:val="20"/>
                <w:u w:val="none"/>
                <w:em w:val="none"/>
              </w:rPr>
            </w:pPr>
            <w:r>
              <w:rPr>
                <w:rFonts w:ascii="Times" w:hAnsi="Times"/>
                <w:b w:val="false"/>
                <w:bCs w:val="false"/>
                <w:i w:val="false"/>
                <w:strike w:val="false"/>
                <w:dstrike w:val="false"/>
                <w:outline w:val="false"/>
                <w:shadow w:val="false"/>
                <w:sz w:val="20"/>
                <w:szCs w:val="20"/>
                <w:u w:val="none"/>
                <w:em w:val="none"/>
              </w:rPr>
              <w:t xml:space="preserve">R$ </w:t>
            </w:r>
            <w:r>
              <w:rPr>
                <w:rFonts w:eastAsia="Times New Roman" w:cs="Times New Roman" w:ascii="Times" w:hAnsi="Times"/>
                <w:b w:val="false"/>
                <w:bCs w:val="false"/>
                <w:i w:val="false"/>
                <w:strike w:val="false"/>
                <w:dstrike w:val="false"/>
                <w:outline w:val="false"/>
                <w:shadow w:val="false"/>
                <w:sz w:val="20"/>
                <w:szCs w:val="20"/>
                <w:u w:val="none"/>
                <w:em w:val="none"/>
                <w:lang w:eastAsia="pt-BR" w:bidi="ar-SA"/>
              </w:rPr>
              <w:t>1.250,00</w:t>
            </w:r>
          </w:p>
        </w:tc>
        <w:tc>
          <w:tcPr>
            <w:tcW w:w="13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Web"/>
              <w:spacing w:lineRule="auto" w:line="360" w:before="0" w:after="0"/>
              <w:jc w:val="center"/>
              <w:rPr>
                <w:rFonts w:ascii="Times" w:hAnsi="Times"/>
                <w:b w:val="false"/>
                <w:b w:val="false"/>
                <w:bCs w:val="false"/>
                <w:i w:val="false"/>
                <w:i w:val="false"/>
                <w:strike w:val="false"/>
                <w:dstrike w:val="false"/>
                <w:outline w:val="false"/>
                <w:shadow w:val="false"/>
                <w:sz w:val="20"/>
                <w:szCs w:val="20"/>
                <w:u w:val="none"/>
                <w:em w:val="none"/>
              </w:rPr>
            </w:pPr>
            <w:r>
              <w:rPr>
                <w:rFonts w:ascii="Times" w:hAnsi="Times"/>
                <w:b w:val="false"/>
                <w:bCs w:val="false"/>
                <w:i w:val="false"/>
                <w:strike w:val="false"/>
                <w:dstrike w:val="false"/>
                <w:outline w:val="false"/>
                <w:shadow w:val="false"/>
                <w:sz w:val="20"/>
                <w:szCs w:val="20"/>
                <w:u w:val="none"/>
                <w:em w:val="none"/>
              </w:rPr>
              <w:t xml:space="preserve">R$ </w:t>
            </w:r>
            <w:r>
              <w:rPr>
                <w:rFonts w:eastAsia="Times New Roman" w:cs="Times New Roman" w:ascii="Times" w:hAnsi="Times"/>
                <w:b w:val="false"/>
                <w:bCs w:val="false"/>
                <w:i w:val="false"/>
                <w:strike w:val="false"/>
                <w:dstrike w:val="false"/>
                <w:outline w:val="false"/>
                <w:shadow w:val="false"/>
                <w:sz w:val="20"/>
                <w:szCs w:val="20"/>
                <w:u w:val="none"/>
                <w:em w:val="none"/>
                <w:lang w:eastAsia="pt-BR" w:bidi="ar-SA"/>
              </w:rPr>
              <w:t>2.500,00</w:t>
            </w:r>
          </w:p>
        </w:tc>
      </w:tr>
    </w:tbl>
    <w:p>
      <w:pPr>
        <w:pStyle w:val="PADRO"/>
        <w:keepNext/>
        <w:widowControl/>
        <w:numPr>
          <w:ilvl w:val="2"/>
          <w:numId w:val="1"/>
        </w:numPr>
        <w:shd w:val="clear" w:color="auto" w:fill="auto"/>
        <w:spacing w:before="120" w:after="120"/>
        <w:rPr/>
      </w:pPr>
      <w:r>
        <w:rPr>
          <w:rFonts w:cs="Arial" w:ascii="Arial" w:hAnsi="Arial"/>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widowControl/>
        <w:numPr>
          <w:ilvl w:val="1"/>
          <w:numId w:val="1"/>
        </w:numPr>
        <w:shd w:val="clear" w:color="auto" w:fill="auto"/>
        <w:spacing w:before="120" w:after="120"/>
        <w:rPr/>
      </w:pPr>
      <w:r>
        <w:rPr>
          <w:rFonts w:cs="Arial" w:ascii="Arial" w:hAnsi="Arial"/>
          <w:szCs w:val="20"/>
        </w:rPr>
        <w:t>O critério de julgamento adotado será o</w:t>
      </w:r>
      <w:r>
        <w:rPr>
          <w:rFonts w:cs="Arial" w:ascii="Arial" w:hAnsi="Arial"/>
          <w:i/>
          <w:iCs/>
          <w:szCs w:val="20"/>
        </w:rPr>
        <w:t xml:space="preserve"> </w:t>
      </w:r>
      <w:r>
        <w:rPr>
          <w:rFonts w:cs="Arial" w:ascii="Arial" w:hAnsi="Arial"/>
          <w:i/>
          <w:iCs/>
          <w:color w:val="FF0000"/>
          <w:szCs w:val="20"/>
        </w:rPr>
        <w:t>menor preço,</w:t>
      </w:r>
      <w:r>
        <w:rPr>
          <w:rFonts w:cs="Arial" w:ascii="Arial" w:hAnsi="Arial"/>
          <w:color w:val="FF0000"/>
          <w:szCs w:val="20"/>
        </w:rPr>
        <w:t xml:space="preserve"> </w:t>
      </w:r>
      <w:r>
        <w:rPr>
          <w:rFonts w:cs="Arial" w:ascii="Arial" w:hAnsi="Arial"/>
          <w:szCs w:val="20"/>
        </w:rPr>
        <w:t>observadas as exigências contidas neste Aviso de Contratação Direta e seus Anexos quanto às especificações do objeto.</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color w:val="FF0000"/>
          <w:szCs w:val="20"/>
        </w:rPr>
        <w:t>...</w:t>
      </w:r>
      <w:r>
        <w:rPr>
          <w:rFonts w:cs="Arial"/>
          <w:szCs w:val="20"/>
        </w:rPr>
        <w:t>.</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0"/>
          <w:numId w:val="0"/>
        </w:numPr>
        <w:spacing w:lineRule="auto" w:line="276" w:before="120" w:after="120"/>
        <w:ind w:left="1224" w:hanging="0"/>
        <w:jc w:val="both"/>
        <w:rPr>
          <w:rFonts w:cs="Arial"/>
          <w:i/>
          <w:i/>
          <w:color w:val="FF0000"/>
          <w:szCs w:val="20"/>
        </w:rPr>
      </w:pPr>
      <w:r>
        <w:rPr>
          <w:rFonts w:cs="Arial"/>
          <w:i/>
          <w:color w:val="FF0000"/>
          <w:szCs w:val="20"/>
        </w:rPr>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Cs w:val="20"/>
        </w:rPr>
        <w:t xml:space="preserve">A apresentação das propostas implica obrigatoriedade do cumprimento das disposições nelas contidas, em conformidade com o que dispõe o </w:t>
      </w:r>
      <w:r>
        <w:rPr>
          <w:rFonts w:cs="Arial"/>
          <w:i/>
          <w:color w:val="FF0000"/>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widowControl/>
        <w:numPr>
          <w:ilvl w:val="0"/>
          <w:numId w:val="1"/>
        </w:numPr>
        <w:shd w:val="clear" w:color="auto" w:fill="auto"/>
        <w:spacing w:before="120" w:after="120"/>
        <w:rPr/>
      </w:pPr>
      <w:r>
        <w:rPr>
          <w:rFonts w:cs="Arial" w:ascii="Arial" w:hAnsi="Arial"/>
          <w:b/>
        </w:rPr>
        <w:t>FASE DE LANCES</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jc w:val="both"/>
        <w:rPr/>
      </w:pPr>
      <w:r>
        <w:rPr>
          <w:rFonts w:cs="Arial"/>
          <w:i/>
          <w:iCs/>
          <w:color w:val="FF0000"/>
          <w:szCs w:val="20"/>
        </w:rPr>
        <w:t>O lance deverá ser ofertado pelo valor unitário do item.</w:t>
      </w:r>
    </w:p>
    <w:p>
      <w:pPr>
        <w:pStyle w:val="ListParagraph"/>
        <w:numPr>
          <w:ilvl w:val="1"/>
          <w:numId w:val="1"/>
        </w:numPr>
        <w:spacing w:lineRule="auto" w:line="276" w:before="120" w:after="120"/>
        <w:jc w:val="both"/>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jc w:val="both"/>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R$ 0,10</w:t>
      </w:r>
      <w:r>
        <w:rPr>
          <w:rFonts w:cs="Arial"/>
          <w:i/>
          <w:iCs/>
          <w:color w:val="FF0000"/>
          <w:szCs w:val="20"/>
        </w:rPr>
        <w:t xml:space="preserve"> (dez centavos).</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jc w:val="both"/>
        <w:rPr>
          <w:rFonts w:cs="Arial"/>
        </w:rPr>
      </w:pPr>
      <w:r>
        <w:rPr>
          <w:rFonts w:cs="Arial"/>
        </w:rPr>
        <w:t>Estando o preço compatível, será solicitado o envio da proposta e, se necessário, de documentos complementares, adequada ao último lance.</w:t>
      </w:r>
    </w:p>
    <w:p>
      <w:pPr>
        <w:pStyle w:val="ListParagraph"/>
        <w:numPr>
          <w:ilvl w:val="2"/>
          <w:numId w:val="1"/>
        </w:numPr>
        <w:spacing w:lineRule="auto" w:line="276" w:before="120" w:after="120"/>
        <w:jc w:val="both"/>
        <w:rPr>
          <w:rFonts w:cs="Arial"/>
          <w:i/>
          <w:i/>
          <w:iCs/>
          <w:color w:val="FF0000"/>
        </w:rPr>
      </w:pPr>
      <w:r>
        <w:rPr>
          <w:rFonts w:cs="Arial"/>
          <w:i/>
          <w:iCs/>
          <w:color w:val="FF0000"/>
        </w:rPr>
      </w:r>
    </w:p>
    <w:p>
      <w:pPr>
        <w:pStyle w:val="Normal"/>
        <w:numPr>
          <w:ilvl w:val="1"/>
          <w:numId w:val="1"/>
        </w:numPr>
        <w:spacing w:lineRule="auto" w:line="276" w:before="120" w:after="120"/>
        <w:jc w:val="both"/>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Pr>
          <w:rFonts w:cs="Arial"/>
          <w:color w:val="FF0000"/>
          <w:szCs w:val="20"/>
        </w:rPr>
        <w:t>60 (sessenta)</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jc w:val="both"/>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jc w:val="both"/>
        <w:rPr>
          <w:rFonts w:cs="Arial"/>
          <w:i/>
          <w:i/>
          <w:color w:val="FF0000"/>
          <w:szCs w:val="20"/>
          <w:lang w:eastAsia="en-US"/>
        </w:rPr>
      </w:pPr>
      <w:r>
        <w:rPr>
          <w:rFonts w:cs="Arial"/>
          <w:i/>
          <w:color w:val="FF0000"/>
          <w:szCs w:val="20"/>
          <w:lang w:eastAsia="en-US"/>
        </w:rPr>
      </w:r>
    </w:p>
    <w:p>
      <w:pPr>
        <w:pStyle w:val="ListParagraph"/>
        <w:numPr>
          <w:ilvl w:val="1"/>
          <w:numId w:val="1"/>
        </w:numPr>
        <w:spacing w:lineRule="auto" w:line="276" w:before="120" w:after="120"/>
        <w:ind w:left="792" w:right="-15" w:hanging="432"/>
        <w:jc w:val="both"/>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hanging="0"/>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jc w:val="both"/>
        <w:rPr>
          <w:rFonts w:cs="Arial"/>
          <w:b/>
          <w:b/>
          <w:szCs w:val="20"/>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jc w:val="both"/>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jc w:val="both"/>
        <w:rPr>
          <w:rFonts w:cs="Arial"/>
          <w:i/>
          <w:i/>
          <w:color w:val="FF0000"/>
          <w:szCs w:val="20"/>
        </w:rPr>
      </w:pPr>
      <w:r>
        <w:rPr>
          <w:rFonts w:cs="Arial"/>
          <w:i/>
          <w:color w:val="FF0000"/>
          <w:szCs w:val="20"/>
        </w:rPr>
      </w:r>
    </w:p>
    <w:p>
      <w:pPr>
        <w:pStyle w:val="ListParagraph"/>
        <w:numPr>
          <w:ilvl w:val="1"/>
          <w:numId w:val="1"/>
        </w:numPr>
        <w:spacing w:lineRule="auto" w:line="276" w:before="120" w:after="120"/>
        <w:ind w:left="792" w:hanging="574"/>
        <w:jc w:val="both"/>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jc w:val="both"/>
        <w:rPr>
          <w:rFonts w:cs="Arial"/>
          <w:iCs/>
          <w:lang w:eastAsia="en-US"/>
        </w:rPr>
      </w:pPr>
      <w:r>
        <w:rPr>
          <w:rFonts w:cs="Arial"/>
          <w:iCs/>
          <w:lang w:eastAsia="en-US"/>
        </w:rPr>
        <w:t>Constatado o atendimento às exigências de habilitação, o fornecedor será habilitado</w:t>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Cs w:val="20"/>
        </w:rPr>
        <w:t xml:space="preserve">O adjudicatário terá o prazo de 10 </w:t>
      </w:r>
      <w:r>
        <w:rPr>
          <w:rFonts w:eastAsia="Arial" w:cs="Arial"/>
          <w:color w:val="FF0000"/>
          <w:szCs w:val="20"/>
        </w:rPr>
        <w:t>(dez) dias úteis</w:t>
      </w:r>
      <w:r>
        <w:rPr>
          <w:rFonts w:eastAsia="Arial" w:cs="Arial"/>
          <w:color w:val="000000"/>
          <w:szCs w:val="20"/>
        </w:rPr>
        <w:t xml:space="preserve">, contados a partir da data de sua convocação, para </w:t>
      </w:r>
      <w:r>
        <w:rPr>
          <w:rFonts w:eastAsia="Arial" w:cs="Arial"/>
          <w:color w:val="FF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Cs w:val="20"/>
        </w:rPr>
      </w:pPr>
      <w:r>
        <w:rPr>
          <w:rFonts w:eastAsia="Arial" w:cs="Arial"/>
          <w:i/>
          <w:color w:val="FF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pPr>
      <w:r>
        <w:rPr>
          <w:rFonts w:eastAsia="Arial" w:cs="Arial"/>
          <w:color w:val="000000"/>
          <w:szCs w:val="20"/>
        </w:rPr>
        <w:t>O prazo de vigência da contratação é de 6 (seis) meses</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widowControl/>
        <w:numPr>
          <w:ilvl w:val="0"/>
          <w:numId w:val="1"/>
        </w:numPr>
        <w:shd w:val="clear" w:color="auto" w:fill="auto"/>
        <w:spacing w:before="120" w:after="120"/>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instrText> HYPERLINK "http://www.planalto.gov.br/ccivil_03/_Ato2011-2014/2013/Lei/L12846.htm" \l "art5"</w:instrText>
      </w:r>
      <w:r>
        <w:fldChar w:fldCharType="separate"/>
      </w:r>
      <w:r>
        <w:rPr>
          <w:rStyle w:val="LinkdaInternet"/>
          <w:color w:val="000000"/>
        </w:rPr>
        <w:t>art. 5º da Lei nº 12.846, de 1º de agosto de 2013.</w:t>
      </w:r>
      <w: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5"/>
        </w:numPr>
        <w:spacing w:lineRule="auto" w:line="276" w:before="120" w:after="120"/>
        <w:jc w:val="both"/>
        <w:rPr/>
      </w:pPr>
      <w:r>
        <w:rPr>
          <w:rFonts w:cs="Arial"/>
        </w:rPr>
        <w:t>Multa de 10</w:t>
      </w:r>
      <w:r>
        <w:rPr>
          <w:rFonts w:cs="Arial"/>
          <w:color w:val="FF0000"/>
        </w:rPr>
        <w:t xml:space="preserve">% (dez por cento) </w:t>
      </w:r>
      <w:r>
        <w:rPr>
          <w:rFonts w:cs="Arial"/>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6"/>
      <w:bookmarkStart w:id="2" w:name="art156§7"/>
      <w:bookmarkStart w:id="3" w:name="art156§8"/>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9"/>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Termo de Referência;</w:t>
      </w:r>
    </w:p>
    <w:p>
      <w:pPr>
        <w:pStyle w:val="Normal"/>
        <w:numPr>
          <w:ilvl w:val="3"/>
          <w:numId w:val="1"/>
        </w:numPr>
        <w:spacing w:lineRule="auto" w:line="276" w:before="120" w:after="120"/>
        <w:jc w:val="both"/>
        <w:rPr/>
      </w:pPr>
      <w:r>
        <w:rPr>
          <w:rFonts w:cs="Arial"/>
          <w:i/>
          <w:iCs/>
          <w:color w:val="FF0000"/>
          <w:szCs w:val="20"/>
        </w:rPr>
        <w:t>ANEXO III – Estudo Técnico Preliminar</w:t>
      </w:r>
    </w:p>
    <w:p>
      <w:pPr>
        <w:pStyle w:val="Normal"/>
        <w:numPr>
          <w:ilvl w:val="0"/>
          <w:numId w:val="0"/>
        </w:numPr>
        <w:spacing w:lineRule="auto" w:line="276" w:before="120" w:after="120"/>
        <w:ind w:left="1224" w:hanging="0"/>
        <w:jc w:val="both"/>
        <w:rPr>
          <w:rFonts w:cs="Arial"/>
          <w:i/>
          <w:i/>
          <w:iCs/>
          <w:color w:val="FF0000"/>
          <w:szCs w:val="20"/>
        </w:rPr>
      </w:pPr>
      <w:r>
        <w:rPr>
          <w:rFonts w:cs="Arial"/>
          <w:i/>
          <w:iCs/>
          <w:color w:val="FF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pPr>
      <w:r>
        <w:rPr>
          <w:rFonts w:cs="Arial"/>
          <w:color w:val="000000"/>
          <w:szCs w:val="20"/>
        </w:rPr>
        <w:t>Recife _____ de março de 2023</w:t>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r>
    </w:p>
    <w:p>
      <w:pPr>
        <w:pStyle w:val="Normal"/>
        <w:spacing w:lineRule="auto" w:line="276" w:before="0" w:after="120"/>
        <w:ind w:left="360" w:right="-15" w:hanging="0"/>
        <w:jc w:val="center"/>
        <w:rPr/>
      </w:pPr>
      <w:r>
        <w:rPr>
          <w:rFonts w:cs="Arial"/>
          <w:color w:val="000000"/>
          <w:szCs w:val="20"/>
        </w:rPr>
        <w:t>ANTONIO MARCOS SANTOS MORAES – Ten Cel</w:t>
      </w:r>
    </w:p>
    <w:p>
      <w:pPr>
        <w:pStyle w:val="Normal"/>
        <w:spacing w:lineRule="auto" w:line="276"/>
        <w:jc w:val="center"/>
        <w:rPr/>
      </w:pPr>
      <w:r>
        <w:rPr>
          <w:rFonts w:cs="Arial"/>
          <w:b/>
          <w:bCs/>
          <w:iCs/>
          <w:color w:val="000000"/>
          <w:szCs w:val="20"/>
        </w:rPr>
        <w:t>Ordenador de Despesas do CPOR/R</w:t>
      </w:r>
    </w:p>
    <w:p>
      <w:pPr>
        <w:pStyle w:val="Normal"/>
        <w:jc w:val="center"/>
        <w:rPr>
          <w:rFonts w:cs="Arial"/>
          <w:lang w:eastAsia="en-US"/>
        </w:rPr>
      </w:pPr>
      <w:r>
        <w:rPr>
          <w:rFonts w:cs="Arial"/>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keepNext/>
        <w:widowControl/>
        <w:numPr>
          <w:ilvl w:val="0"/>
          <w:numId w:val="3"/>
        </w:numPr>
        <w:shd w:val="clear" w:fill="FFFFFF"/>
        <w:spacing w:before="120" w:after="120"/>
        <w:rPr/>
      </w:pPr>
      <w:r>
        <w:rPr>
          <w:rFonts w:cs="Arial" w:ascii="Arial" w:hAnsi="Arial"/>
          <w:b/>
          <w:bCs/>
          <w:color w:val="00000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ListParagraph"/>
        <w:numPr>
          <w:ilvl w:val="1"/>
          <w:numId w:val="3"/>
        </w:numPr>
        <w:spacing w:lineRule="auto" w:line="276" w:before="120" w:after="120"/>
        <w:jc w:val="both"/>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jc w:val="both"/>
        <w:rPr>
          <w:rFonts w:cs="Arial"/>
          <w:bCs/>
          <w:color w:val="000000"/>
          <w:szCs w:val="20"/>
        </w:rPr>
      </w:pPr>
      <w:r>
        <w:rPr>
          <w:rFonts w:cs="Arial"/>
          <w:bCs/>
          <w:color w:val="000000"/>
          <w:szCs w:val="20"/>
        </w:rPr>
      </w:r>
    </w:p>
    <w:p>
      <w:pPr>
        <w:pStyle w:val="PADRO"/>
        <w:keepNext/>
        <w:widowControl/>
        <w:numPr>
          <w:ilvl w:val="0"/>
          <w:numId w:val="3"/>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i/>
          <w:iCs/>
          <w:color w:val="FF0000"/>
          <w:szCs w:val="20"/>
        </w:rPr>
        <w:t>estadual e/ou municipal</w:t>
      </w:r>
      <w:r>
        <w:rPr>
          <w:rFonts w:cs="Arial"/>
          <w:color w:val="000000"/>
          <w:szCs w:val="20"/>
        </w:rPr>
        <w:t>, 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left" w:pos="1440" w:leader="none"/>
        </w:tabs>
        <w:snapToGrid w:val="false"/>
        <w:spacing w:lineRule="auto" w:line="276" w:before="120" w:after="120"/>
        <w:jc w:val="both"/>
        <w:rPr>
          <w:rFonts w:cs="Arial"/>
          <w:b/>
          <w:b/>
          <w:szCs w:val="20"/>
        </w:rPr>
      </w:pPr>
      <w:r>
        <w:rPr>
          <w:rFonts w:cs="Arial"/>
          <w:szCs w:val="20"/>
        </w:rPr>
        <w:t xml:space="preserve">prova de regularidade com a Fazenda </w:t>
      </w:r>
      <w:r>
        <w:rPr>
          <w:rFonts w:cs="Arial"/>
          <w:i/>
          <w:iCs/>
          <w:color w:val="FF0000"/>
          <w:szCs w:val="20"/>
        </w:rPr>
        <w:t>Estadual e/ou Municipal</w:t>
      </w:r>
      <w:r>
        <w:rPr>
          <w:rFonts w:cs="Arial"/>
          <w:szCs w:val="20"/>
        </w:rPr>
        <w:t xml:space="preserve"> 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pPr>
      <w:r>
        <w:rPr>
          <w:rFonts w:cs="Arial"/>
          <w:szCs w:val="20"/>
        </w:rPr>
        <w:t xml:space="preserve">caso o fornecedor seja considerado isento dos tributos </w:t>
      </w:r>
      <w:r>
        <w:rPr>
          <w:rFonts w:cs="Arial"/>
          <w:i/>
          <w:color w:val="FF0000"/>
          <w:szCs w:val="20"/>
        </w:rPr>
        <w:t xml:space="preserve">estaduais </w:t>
      </w:r>
      <w:r>
        <w:rPr>
          <w:rFonts w:cs="Arial"/>
          <w:b/>
          <w:i/>
          <w:color w:val="FF0000"/>
          <w:szCs w:val="20"/>
          <w:u w:val="single"/>
        </w:rPr>
        <w:t>ou</w:t>
      </w:r>
      <w:r>
        <w:rPr>
          <w:rFonts w:cs="Arial"/>
          <w:i/>
          <w:color w:val="FF0000"/>
          <w:szCs w:val="20"/>
        </w:rPr>
        <w:t xml:space="preserve"> municipais</w:t>
      </w:r>
      <w:r>
        <w:rPr>
          <w:rFonts w:cs="Arial"/>
          <w:color w:val="FF0000"/>
          <w:szCs w:val="20"/>
        </w:rPr>
        <w:t xml:space="preserve">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PADRO"/>
        <w:keepNext/>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r>
        <w:rPr>
          <w:rFonts w:cs="Arial" w:ascii="Arial" w:hAnsi="Arial"/>
          <w:b/>
          <w:bCs/>
          <w:iCs/>
          <w:color w:val="000000"/>
          <w:szCs w:val="20"/>
        </w:rPr>
        <w:t xml:space="preserve"> </w:t>
      </w:r>
    </w:p>
    <w:p>
      <w:pPr>
        <w:pStyle w:val="ListParagraph"/>
        <w:numPr>
          <w:ilvl w:val="1"/>
          <w:numId w:val="3"/>
        </w:numPr>
        <w:tabs>
          <w:tab w:val="left" w:pos="1440" w:leader="none"/>
        </w:tabs>
        <w:snapToGrid w:val="false"/>
        <w:spacing w:lineRule="auto" w:line="276" w:before="120" w:after="120"/>
        <w:jc w:val="both"/>
        <w:rPr/>
      </w:pPr>
      <w:r>
        <w:rPr>
          <w:rFonts w:cs="Arial"/>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3" w:type="dxa"/>
        <w:tblCellMar>
          <w:top w:w="0" w:type="dxa"/>
          <w:left w:w="123"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LG =</w:t>
            </w:r>
          </w:p>
        </w:tc>
        <w:tc>
          <w:tcPr>
            <w:tcW w:w="4252"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 + Realizável a Longo Prazo</w:t>
            </w:r>
          </w:p>
        </w:tc>
      </w:tr>
      <w:tr>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3" w:type="dxa"/>
        <w:tblCellMar>
          <w:top w:w="0" w:type="dxa"/>
          <w:left w:w="123" w:type="dxa"/>
          <w:bottom w:w="0" w:type="dxa"/>
          <w:right w:w="108" w:type="dxa"/>
        </w:tblCellMar>
        <w:tblLook w:firstRow="1" w:noVBand="1" w:lastRow="0" w:firstColumn="1" w:lastColumn="0" w:noHBand="0" w:val="04a0"/>
      </w:tblPr>
      <w:tblGrid>
        <w:gridCol w:w="2234"/>
        <w:gridCol w:w="4394"/>
      </w:tblGrid>
      <w:tr>
        <w:trPr>
          <w:cantSplit w:val="true"/>
        </w:trPr>
        <w:tc>
          <w:tcPr>
            <w:tcW w:w="2234"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SG =</w:t>
            </w:r>
          </w:p>
        </w:tc>
        <w:tc>
          <w:tcPr>
            <w:tcW w:w="4394"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Total</w:t>
            </w:r>
          </w:p>
        </w:tc>
      </w:tr>
      <w:tr>
        <w:trPr>
          <w:cantSplit w:val="true"/>
        </w:trPr>
        <w:tc>
          <w:tcPr>
            <w:tcW w:w="2234"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4"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3" w:type="dxa"/>
        <w:tblCellMar>
          <w:top w:w="0" w:type="dxa"/>
          <w:left w:w="123"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insideH w:val="nil"/>
              <w:insideV w:val="nil"/>
            </w:tcBorders>
            <w:shd w:fill="auto" w:val="clear"/>
            <w:vAlign w:val="cente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LC =</w:t>
            </w:r>
          </w:p>
        </w:tc>
        <w:tc>
          <w:tcPr>
            <w:tcW w:w="2550" w:type="dxa"/>
            <w:tcBorders>
              <w:top w:val="nil"/>
              <w:left w:val="nil"/>
              <w:right w:val="nil"/>
              <w:insideV w:val="nil"/>
            </w:tcBorders>
            <w:shd w:fill="auto" w:val="clear"/>
            <w:vAlign w:val="bottom"/>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Ativo Circulante</w:t>
            </w:r>
          </w:p>
        </w:tc>
      </w:tr>
      <w:tr>
        <w:trPr/>
        <w:tc>
          <w:tcPr>
            <w:tcW w:w="2235" w:type="dxa"/>
            <w:vMerge w:val="continue"/>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0" w:type="dxa"/>
            <w:tcBorders>
              <w:top w:val="nil"/>
              <w:left w:val="nil"/>
              <w:bottom w:val="nil"/>
              <w:right w:val="nil"/>
              <w:insideH w:val="nil"/>
              <w:insideV w:val="nil"/>
            </w:tcBorders>
            <w:shd w:fill="auto" w:val="clear"/>
          </w:tcPr>
          <w:p>
            <w:pPr>
              <w:pStyle w:val="Normal"/>
              <w:tabs>
                <w:tab w:val="left" w:pos="1440" w:leader="none"/>
              </w:tabs>
              <w:snapToGrid w:val="false"/>
              <w:spacing w:lineRule="auto" w:line="276" w:before="0" w:after="0"/>
              <w:jc w:val="both"/>
              <w:rPr>
                <w:rFonts w:cs="Arial"/>
                <w:color w:val="000000"/>
                <w:szCs w:val="20"/>
              </w:rPr>
            </w:pPr>
            <w:r>
              <w:rPr>
                <w:rFonts w:eastAsia="" w:cs="Arial" w:ascii="Times New Roman" w:hAnsi="Times New Roman"/>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
          <w:iCs/>
          <w:color w:val="FF0000"/>
          <w:szCs w:val="20"/>
        </w:rPr>
        <w:t xml:space="preserve"> 10%(DEZ) </w:t>
      </w:r>
      <w:r>
        <w:rPr>
          <w:rFonts w:cs="Arial"/>
          <w:color w:val="000000"/>
          <w:szCs w:val="20"/>
        </w:rPr>
        <w:t xml:space="preserve">do valor total estimado da contratação ou do item pertinente. </w:t>
      </w:r>
    </w:p>
    <w:p>
      <w:pPr>
        <w:pStyle w:val="Normal"/>
        <w:numPr>
          <w:ilvl w:val="2"/>
          <w:numId w:val="3"/>
        </w:numPr>
        <w:tabs>
          <w:tab w:val="left" w:pos="1440" w:leader="none"/>
        </w:tabs>
        <w:snapToGrid w:val="false"/>
        <w:spacing w:lineRule="auto" w:line="276" w:before="120" w:after="120"/>
        <w:jc w:val="both"/>
        <w:rPr/>
      </w:pPr>
      <w:r>
        <w:rPr>
          <w:rFonts w:cs="Arial"/>
          <w:i/>
          <w:iCs/>
          <w:color w:val="FF0000"/>
          <w:lang w:eastAsia="en-US"/>
        </w:rPr>
        <w:t>O atendimento dos índices econômicos previstos neste item deverá ser atestado mediante declaração assinada por profissional habilitado da área contábil, apresentada pelo fornecedor.</w:t>
      </w:r>
    </w:p>
    <w:p>
      <w:pPr>
        <w:pStyle w:val="PADRO"/>
        <w:keepNext/>
        <w:widowControl/>
        <w:numPr>
          <w:ilvl w:val="0"/>
          <w:numId w:val="3"/>
        </w:numPr>
        <w:shd w:val="clear" w:fill="FFFFFF"/>
        <w:spacing w:before="120" w:after="120"/>
        <w:rPr/>
      </w:pPr>
      <w:r>
        <w:rPr>
          <w:rFonts w:cs="Arial" w:ascii="Arial" w:hAnsi="Arial"/>
          <w:b/>
          <w:color w:val="000000"/>
          <w:szCs w:val="20"/>
        </w:rPr>
        <w:t>Qualificação</w:t>
      </w:r>
      <w:r>
        <w:rPr>
          <w:rFonts w:cs="Arial" w:ascii="Arial" w:hAnsi="Arial"/>
          <w:b/>
        </w:rPr>
        <w:t xml:space="preserve"> Técnica</w:t>
      </w:r>
    </w:p>
    <w:p>
      <w:pPr>
        <w:pStyle w:val="PADRO"/>
        <w:keepNext/>
        <w:widowControl/>
        <w:numPr>
          <w:ilvl w:val="1"/>
          <w:numId w:val="3"/>
        </w:numPr>
        <w:shd w:val="clear" w:fill="FFFFFF"/>
        <w:spacing w:before="120" w:after="120"/>
        <w:rPr/>
      </w:pPr>
      <w:r>
        <w:rPr>
          <w:rFonts w:cs="Arial" w:ascii="Arial" w:hAnsi="Arial"/>
          <w:i/>
          <w:iCs/>
          <w:color w:val="FF0000"/>
        </w:rPr>
        <w:t xml:space="preserve">Registro ou inscrição </w:t>
      </w:r>
      <w:r>
        <w:rPr>
          <w:rFonts w:cs="Arial" w:ascii="Arial" w:hAnsi="Arial"/>
          <w:i/>
          <w:iCs/>
          <w:color w:val="FF0000"/>
          <w:szCs w:val="20"/>
        </w:rPr>
        <w:t>da</w:t>
      </w:r>
      <w:r>
        <w:rPr>
          <w:rFonts w:cs="Arial" w:ascii="Arial" w:hAnsi="Arial"/>
          <w:i/>
          <w:iCs/>
          <w:color w:val="FF0000"/>
        </w:rPr>
        <w:t xml:space="preserve"> empresa na entidade profissional </w:t>
      </w:r>
      <w:r>
        <w:rPr>
          <w:rFonts w:cs="Arial" w:ascii="Arial" w:hAnsi="Arial"/>
          <w:i/>
          <w:iCs/>
          <w:color w:val="FF0000"/>
          <w:szCs w:val="20"/>
        </w:rPr>
        <w:t>.........(escrever por extenso, se o caso)</w:t>
      </w:r>
      <w:r>
        <w:rPr>
          <w:rFonts w:cs="Arial" w:ascii="Arial" w:hAnsi="Arial"/>
          <w:i/>
          <w:iCs/>
          <w:color w:val="FF0000"/>
        </w:rPr>
        <w:t>, em plena validade;</w:t>
      </w:r>
    </w:p>
    <w:p>
      <w:pPr>
        <w:pStyle w:val="PADRO"/>
        <w:keepNext/>
        <w:widowControl/>
        <w:numPr>
          <w:ilvl w:val="1"/>
          <w:numId w:val="3"/>
        </w:numPr>
        <w:shd w:val="clear" w:fill="FFFFFF"/>
        <w:spacing w:before="120" w:after="120"/>
        <w:rPr/>
      </w:pPr>
      <w:bookmarkStart w:id="5" w:name="_Hlk519176340"/>
      <w:bookmarkEnd w:id="5"/>
      <w:r>
        <w:rPr>
          <w:rFonts w:cs="Arial" w:ascii="Arial" w:hAnsi="Arial"/>
          <w:color w:val="000000"/>
          <w:szCs w:val="20"/>
        </w:rPr>
        <w:t xml:space="preserve">Comprovação de aptidão para a prestação dos serviços em características, quantidades e prazos </w:t>
      </w:r>
      <w:r>
        <w:rPr>
          <w:rFonts w:cs="Arial" w:ascii="Arial" w:hAnsi="Arial"/>
          <w:szCs w:val="20"/>
        </w:rPr>
        <w:t>compatíveis</w:t>
      </w:r>
      <w:r>
        <w:rPr>
          <w:rFonts w:cs="Arial" w:ascii="Arial" w:hAnsi="Arial"/>
          <w:color w:val="000000"/>
          <w:szCs w:val="20"/>
        </w:rPr>
        <w:t xml:space="preserve"> com o objeto desta dispensa, ou com o item pertinente, mediante a apresentação de atestado(s) fornecido(s) por pessoas jurídicas de direito público ou privado. </w:t>
      </w:r>
    </w:p>
    <w:p>
      <w:pPr>
        <w:pStyle w:val="PADRO"/>
        <w:keepNext/>
        <w:widowControl/>
        <w:numPr>
          <w:ilvl w:val="2"/>
          <w:numId w:val="3"/>
        </w:numPr>
        <w:shd w:val="clear" w:fill="FFFFFF"/>
        <w:spacing w:before="120" w:after="120"/>
        <w:rPr>
          <w:rFonts w:ascii="Arial" w:hAnsi="Arial" w:cs="Arial"/>
          <w:bCs/>
          <w:color w:val="000000"/>
          <w:szCs w:val="20"/>
        </w:rPr>
      </w:pPr>
      <w:r>
        <w:rPr>
          <w:rFonts w:cs="Arial" w:ascii="Arial" w:hAnsi="Arial"/>
          <w:color w:val="000000"/>
          <w:szCs w:val="20"/>
        </w:rPr>
        <w:t>Para fins da comprovação de que trata este subitem, os atestados deverão dizer respeito a contratos executados com as seguintes características mínimas:</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 xml:space="preserve">Deverá haver a comprovação da experiência mínima de..... anos na prestação dos serviços, sendo aceito o somatório de atestados de períodos diferentes, não </w:t>
      </w:r>
      <w:r>
        <w:rPr>
          <w:rFonts w:cs="Arial" w:ascii="Arial" w:hAnsi="Arial"/>
          <w:color w:val="FF0000"/>
        </w:rPr>
        <w:t>havendo</w:t>
      </w:r>
      <w:r>
        <w:rPr>
          <w:rFonts w:cs="Arial" w:ascii="Arial" w:hAnsi="Arial"/>
          <w:color w:val="FF0000"/>
          <w:szCs w:val="20"/>
        </w:rPr>
        <w:t xml:space="preserve"> obrigatoriedade de os ......  anos serem ininterruptos.</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PADRO"/>
        <w:keepNext/>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Normal"/>
        <w:tabs>
          <w:tab w:val="left" w:pos="1440" w:leader="none"/>
        </w:tabs>
        <w:snapToGrid w:val="false"/>
        <w:spacing w:lineRule="auto" w:line="276" w:before="120" w:after="120"/>
        <w:jc w:val="both"/>
        <w:rPr>
          <w:rFonts w:cs="Arial"/>
          <w:color w:val="000000"/>
          <w:szCs w:val="20"/>
        </w:rPr>
      </w:pPr>
      <w:r>
        <w:rPr>
          <w:rFonts w:cs="Arial"/>
          <w:color w:val="000000"/>
          <w:szCs w:val="20"/>
        </w:rPr>
      </w:r>
    </w:p>
    <w:p>
      <w:pPr>
        <w:pStyle w:val="PADRO"/>
        <w:keepNext/>
        <w:widowControl/>
        <w:numPr>
          <w:ilvl w:val="3"/>
          <w:numId w:val="3"/>
        </w:numPr>
        <w:shd w:val="clear" w:fill="FFFFFF"/>
        <w:spacing w:before="120" w:after="120"/>
        <w:rPr/>
      </w:pPr>
      <w:bookmarkStart w:id="6" w:name="_Hlk519177818"/>
      <w:bookmarkStart w:id="7" w:name="_Hlk5191763401"/>
      <w:bookmarkEnd w:id="6"/>
      <w:bookmarkEnd w:id="7"/>
      <w:r>
        <w:rPr>
          <w:rFonts w:cs="Arial" w:ascii="Arial" w:hAnsi="Arial"/>
          <w:color w:val="000000"/>
          <w:szCs w:val="20"/>
        </w:rPr>
        <w:t xml:space="preserve">Os atestados deverão referir-se a serviços prestados no âmbito de sua atividade econômica principal ou secundária especificadas no contrato social vigente; </w:t>
      </w:r>
    </w:p>
    <w:p>
      <w:pPr>
        <w:pStyle w:val="PADRO"/>
        <w:keepNext/>
        <w:widowControl/>
        <w:numPr>
          <w:ilvl w:val="3"/>
          <w:numId w:val="3"/>
        </w:numPr>
        <w:shd w:val="clear" w:fill="FFFFFF"/>
        <w:spacing w:before="120" w:after="120"/>
        <w:rPr>
          <w:rFonts w:ascii="Arial" w:hAnsi="Arial" w:cs="Arial"/>
          <w:i/>
          <w:i/>
          <w:color w:val="FF0000"/>
          <w:szCs w:val="20"/>
        </w:rPr>
      </w:pPr>
      <w:bookmarkStart w:id="8" w:name="_Hlk519177062"/>
      <w:bookmarkEnd w:id="8"/>
      <w:r>
        <w:rPr>
          <w:rFonts w:cs="Arial" w:ascii="Arial" w:hAnsi="Arial"/>
          <w:i/>
          <w:color w:val="FF0000"/>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pPr>
        <w:pStyle w:val="PADRO"/>
        <w:keepNext/>
        <w:widowControl/>
        <w:numPr>
          <w:ilvl w:val="3"/>
          <w:numId w:val="3"/>
        </w:numPr>
        <w:shd w:val="clear" w:fill="FFFFFF"/>
        <w:spacing w:before="120" w:after="120"/>
        <w:rPr>
          <w:rFonts w:ascii="Arial" w:hAnsi="Arial" w:cs="Arial"/>
          <w:color w:val="000000"/>
          <w:szCs w:val="20"/>
        </w:rPr>
      </w:pPr>
      <w:r>
        <w:rPr>
          <w:rFonts w:cs="Arial" w:ascii="Arial" w:hAnsi="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pPr>
        <w:pStyle w:val="PADRO"/>
        <w:keepNext/>
        <w:widowControl/>
        <w:numPr>
          <w:ilvl w:val="1"/>
          <w:numId w:val="3"/>
        </w:numPr>
        <w:shd w:val="clear" w:fill="FFFFFF"/>
        <w:spacing w:before="120" w:after="120"/>
        <w:rPr>
          <w:rFonts w:ascii="Arial" w:hAnsi="Arial" w:cs="Arial"/>
          <w:i/>
          <w:i/>
          <w:color w:val="FF0000"/>
          <w:szCs w:val="20"/>
        </w:rPr>
      </w:pPr>
      <w:r>
        <w:rPr>
          <w:rFonts w:cs="Arial" w:ascii="Arial" w:hAnsi="Arial"/>
          <w:i/>
          <w:strike/>
          <w:color w:val="FF0000"/>
          <w:szCs w:val="20"/>
        </w:rPr>
        <w:t>apresentação de profissional(is), devidamente registrado(s) no conselho profissional competente, quando for o caso, detentor(es) de atestado de responsabilidade técnica por execução de objeto de características semelhantes, para fins de contratação.</w:t>
      </w:r>
    </w:p>
    <w:p>
      <w:pPr>
        <w:pStyle w:val="PADRO"/>
        <w:keepNext/>
        <w:widowControl/>
        <w:numPr>
          <w:ilvl w:val="2"/>
          <w:numId w:val="3"/>
        </w:numPr>
        <w:shd w:val="clear" w:fill="FFFFFF"/>
        <w:spacing w:before="120" w:after="120"/>
        <w:rPr>
          <w:rFonts w:ascii="Arial" w:hAnsi="Arial" w:cs="Arial"/>
          <w:i/>
          <w:i/>
          <w:color w:val="FF0000"/>
          <w:szCs w:val="20"/>
        </w:rPr>
      </w:pPr>
      <w:r>
        <w:rPr>
          <w:rFonts w:cs="Arial" w:ascii="Arial" w:hAnsi="Arial"/>
          <w:i/>
          <w:color w:val="FF0000"/>
          <w:szCs w:val="20"/>
        </w:rPr>
      </w:r>
    </w:p>
    <w:p>
      <w:pPr>
        <w:pStyle w:val="PADRO"/>
        <w:keepNext/>
        <w:widowControl/>
        <w:numPr>
          <w:ilvl w:val="2"/>
          <w:numId w:val="3"/>
        </w:numPr>
        <w:shd w:val="clear" w:fill="FFFFFF"/>
        <w:spacing w:before="120" w:after="120"/>
        <w:rPr>
          <w:rFonts w:ascii="Arial" w:hAnsi="Arial" w:cs="Arial"/>
          <w:i/>
          <w:i/>
          <w:color w:val="FF0000"/>
          <w:szCs w:val="20"/>
        </w:rPr>
      </w:pPr>
      <w:r>
        <w:rPr>
          <w:rFonts w:cs="Arial" w:ascii="Arial" w:hAnsi="Arial"/>
          <w:i/>
          <w:strike/>
          <w:color w:val="FF0000"/>
          <w:szCs w:val="20"/>
        </w:rPr>
        <w:t>No decorrer da execução do serviço, os profissionais de que trata este subitem deverão participar da execução do objeto e poderão ser substituídos, nos termos do 67, §6º, por profissionais de experiência equivalente ou superior, desde que a substituição seja aprovada pela Administração.</w:t>
      </w:r>
    </w:p>
    <w:p>
      <w:pPr>
        <w:pStyle w:val="PADRO"/>
        <w:keepNext/>
        <w:widowControl/>
        <w:numPr>
          <w:ilvl w:val="1"/>
          <w:numId w:val="3"/>
        </w:numPr>
        <w:shd w:val="clear" w:fill="FFFFFF"/>
        <w:spacing w:before="120" w:after="120"/>
        <w:rPr>
          <w:rFonts w:ascii="Arial" w:hAnsi="Arial" w:cs="Arial"/>
          <w:bCs/>
          <w:i/>
          <w:i/>
          <w:color w:val="FF0000"/>
          <w:szCs w:val="20"/>
        </w:rPr>
      </w:pPr>
      <w:r>
        <w:rPr>
          <w:rFonts w:cs="Arial" w:ascii="Arial" w:hAnsi="Arial"/>
          <w:bCs/>
          <w:i/>
          <w:strike/>
          <w:color w:val="FF0000"/>
          <w:szCs w:val="20"/>
        </w:rPr>
        <w:t xml:space="preserve">Declaração do fornecedor atestando que conhece </w:t>
      </w:r>
      <w:r>
        <w:rPr>
          <w:rFonts w:cs="Arial" w:ascii="Arial" w:hAnsi="Arial"/>
          <w:i/>
          <w:strike/>
          <w:color w:val="FF0000"/>
          <w:szCs w:val="20"/>
        </w:rPr>
        <w:t>todas as informações e condições locais para o cumprimento das obrigações objeto da contratação</w:t>
      </w:r>
      <w:r>
        <w:rPr>
          <w:rFonts w:cs="Arial" w:ascii="Arial" w:hAnsi="Arial"/>
          <w:bCs/>
          <w:i/>
          <w:strike/>
          <w:color w:val="FF0000"/>
          <w:szCs w:val="20"/>
        </w:rPr>
        <w:t>.</w:t>
      </w:r>
    </w:p>
    <w:p>
      <w:pPr>
        <w:pStyle w:val="PADRO"/>
        <w:keepNext/>
        <w:widowControl/>
        <w:numPr>
          <w:ilvl w:val="2"/>
          <w:numId w:val="3"/>
        </w:numPr>
        <w:shd w:val="clear" w:fill="FFFFFF"/>
        <w:spacing w:before="120" w:after="120"/>
        <w:rPr>
          <w:rFonts w:ascii="Arial" w:hAnsi="Arial" w:cs="Arial"/>
          <w:bCs/>
          <w:i/>
          <w:i/>
          <w:color w:val="FF0000"/>
          <w:szCs w:val="20"/>
        </w:rPr>
      </w:pPr>
      <w:r>
        <w:rPr>
          <w:rFonts w:cs="Arial" w:ascii="Arial" w:hAnsi="Arial"/>
          <w:bCs/>
          <w:i/>
          <w:strike/>
          <w:color w:val="FF0000"/>
          <w:szCs w:val="20"/>
        </w:rPr>
        <w:t>Fica assegurado direito à realização de vistoria prévia, na forma prevista no Termo de Referência.</w:t>
      </w:r>
    </w:p>
    <w:p>
      <w:pPr>
        <w:pStyle w:val="PADRO"/>
        <w:keepNext/>
        <w:widowControl/>
        <w:numPr>
          <w:ilvl w:val="1"/>
          <w:numId w:val="3"/>
        </w:numPr>
        <w:shd w:val="clear" w:fill="FFFFFF"/>
        <w:spacing w:before="120" w:after="120"/>
        <w:rPr>
          <w:strike/>
        </w:rPr>
      </w:pPr>
      <w:r>
        <w:rPr>
          <w:rFonts w:cs="Arial" w:ascii="Arial" w:hAnsi="Arial"/>
          <w:strike/>
          <w:color w:val="FF0000"/>
        </w:rPr>
        <w:t>Prova</w:t>
      </w:r>
      <w:r>
        <w:rPr>
          <w:rFonts w:cs="Arial" w:ascii="Arial" w:hAnsi="Arial"/>
          <w:bCs/>
          <w:i/>
          <w:strike/>
          <w:color w:val="FF0000"/>
          <w:szCs w:val="20"/>
        </w:rPr>
        <w:t xml:space="preserve"> de atendimento aos requisitos ........, previstos na lei ............:</w:t>
      </w:r>
    </w:p>
    <w:p>
      <w:pPr>
        <w:pStyle w:val="PADRO"/>
        <w:keepNext/>
        <w:widowControl/>
        <w:numPr>
          <w:ilvl w:val="1"/>
          <w:numId w:val="3"/>
        </w:numPr>
        <w:shd w:val="clear" w:fill="FFFFFF"/>
        <w:spacing w:before="120" w:after="120"/>
        <w:rPr/>
      </w:pPr>
      <w:r>
        <w:rPr/>
      </w:r>
    </w:p>
    <w:sectPr>
      <w:footerReference w:type="default" r:id="rId6"/>
      <w:type w:val="nextPage"/>
      <w:pgSz w:w="11906" w:h="16838"/>
      <w:pgMar w:left="1701" w:right="1701" w:header="0" w:top="1417" w:footer="708"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Times">
    <w:altName w:val="Times New Roman"/>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Fonts w:ascii="Arial" w:hAnsi="Arial"/>
      </w:rPr>
    </w:lvl>
    <w:lvl w:ilvl="2">
      <w:start w:val="1"/>
      <w:numFmt w:val="decimal"/>
      <w:lvlText w:val="%1.%2.%3."/>
      <w:lvlJc w:val="left"/>
      <w:pPr>
        <w:ind w:left="1224" w:hanging="504"/>
      </w:pPr>
      <w:rPr>
        <w:i w:val="false"/>
        <w:b/>
        <w:iCs/>
        <w:rFonts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Fonts w:ascii="Arial" w:hAnsi="Arial"/>
      </w:rPr>
    </w:lvl>
    <w:lvl w:ilvl="2">
      <w:start w:val="1"/>
      <w:numFmt w:val="decimal"/>
      <w:lvlText w:val="%1.%2.%3"/>
      <w:lvlJc w:val="left"/>
      <w:pPr>
        <w:ind w:left="1854" w:hanging="720"/>
      </w:pPr>
      <w:rPr>
        <w:b/>
        <w:rFonts w:ascii="Arial" w:hAnsi="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00000A"/>
      <w:sz w:val="20"/>
      <w:szCs w:val="24"/>
      <w:lang w:val="pt-BR" w:eastAsia="pt-BR" w:bidi="ar-SA"/>
    </w:rPr>
  </w:style>
  <w:style w:type="paragraph" w:styleId="Ttulo1">
    <w:name w:val="Heading 1"/>
    <w:basedOn w:val="Normal"/>
    <w:next w:val="Normal"/>
    <w:link w:val="Ttulo1Char"/>
    <w:uiPriority w:val="9"/>
    <w:qFormat/>
    <w:rsid w:val="009f771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ascii="Arial" w:hAnsi="Arial" w:cs="Arial"/>
      <w:b/>
      <w:i w:val="false"/>
      <w:iCs/>
      <w:color w:val="00000A"/>
    </w:rPr>
  </w:style>
  <w:style w:type="character" w:styleId="ListLabel4">
    <w:name w:val="ListLabel 4"/>
    <w:qFormat/>
    <w:rPr>
      <w:rFonts w:cs="Arial"/>
    </w:rPr>
  </w:style>
  <w:style w:type="character" w:styleId="ListLabel5">
    <w:name w:val="ListLabel 5"/>
    <w:qFormat/>
    <w:rPr>
      <w:color w:val="00000A"/>
    </w:rPr>
  </w:style>
  <w:style w:type="character" w:styleId="ListLabel6">
    <w:name w:val="ListLabel 6"/>
    <w:qFormat/>
    <w:rPr>
      <w:color w:val="00000A"/>
    </w:rPr>
  </w:style>
  <w:style w:type="character" w:styleId="ListLabel7">
    <w:name w:val="ListLabel 7"/>
    <w:qFormat/>
    <w:rPr>
      <w:color w:val="00000A"/>
    </w:rPr>
  </w:style>
  <w:style w:type="character" w:styleId="ListLabel8">
    <w:name w:val="ListLabel 8"/>
    <w:qFormat/>
    <w:rPr>
      <w:color w:val="00000A"/>
    </w:rPr>
  </w:style>
  <w:style w:type="character" w:styleId="ListLabel9">
    <w:name w:val="ListLabel 9"/>
    <w:qFormat/>
    <w:rPr>
      <w:color w:val="00000A"/>
    </w:rPr>
  </w:style>
  <w:style w:type="character" w:styleId="ListLabel10">
    <w:name w:val="ListLabel 10"/>
    <w:qFormat/>
    <w:rPr>
      <w:color w:val="00000A"/>
    </w:rPr>
  </w:style>
  <w:style w:type="character" w:styleId="ListLabel11">
    <w:name w:val="ListLabel 11"/>
    <w:qFormat/>
    <w:rPr>
      <w:color w:val="00000A"/>
    </w:rPr>
  </w:style>
  <w:style w:type="character" w:styleId="ListLabel12">
    <w:name w:val="ListLabel 12"/>
    <w:qFormat/>
    <w:rPr>
      <w:color w:val="00000A"/>
    </w:rPr>
  </w:style>
  <w:style w:type="character" w:styleId="ListLabel13">
    <w:name w:val="ListLabel 13"/>
    <w:qFormat/>
    <w:rPr>
      <w:color w:val="00000A"/>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00000A"/>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00000A"/>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00000A"/>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00000A"/>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00000A"/>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00000A"/>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rFonts w:ascii="Arial" w:hAnsi="Arial"/>
      <w:b/>
    </w:rPr>
  </w:style>
  <w:style w:type="character" w:styleId="ListLabel49">
    <w:name w:val="ListLabel 49"/>
    <w:qFormat/>
    <w:rPr>
      <w:rFonts w:ascii="Arial" w:hAnsi="Arial"/>
      <w:b/>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00000A"/>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00000A"/>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00000A"/>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00000A"/>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00000A"/>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00000A"/>
    </w:rPr>
  </w:style>
  <w:style w:type="character" w:styleId="ListLabel71">
    <w:name w:val="ListLabel 71"/>
    <w:qFormat/>
    <w:rPr>
      <w:rFonts w:ascii="Arial" w:hAnsi="Arial"/>
      <w:b/>
    </w:rPr>
  </w:style>
  <w:style w:type="character" w:styleId="ListLabel72">
    <w:name w:val="ListLabel 72"/>
    <w:qFormat/>
    <w:rPr>
      <w:rFonts w:ascii="Arial" w:hAnsi="Arial"/>
      <w:b/>
      <w:i w:val="false"/>
      <w:iCs/>
    </w:rPr>
  </w:style>
  <w:style w:type="character" w:styleId="ListLabel73">
    <w:name w:val="ListLabel 73"/>
    <w:qFormat/>
    <w:rPr>
      <w:rFonts w:ascii="Arial" w:hAnsi="Arial" w:cs="Arial"/>
      <w:b/>
      <w:i w:val="false"/>
      <w:iCs/>
      <w:color w:val="00000A"/>
    </w:rPr>
  </w:style>
  <w:style w:type="character" w:styleId="ListLabel74">
    <w:name w:val="ListLabel 74"/>
    <w:qFormat/>
    <w:rPr>
      <w:rFonts w:ascii="Arial" w:hAnsi="Arial"/>
      <w:b/>
    </w:rPr>
  </w:style>
  <w:style w:type="character" w:styleId="ListLabel75">
    <w:name w:val="ListLabel 75"/>
    <w:qFormat/>
    <w:rPr>
      <w:rFonts w:ascii="Arial" w:hAnsi="Arial"/>
      <w:b/>
    </w:rPr>
  </w:style>
  <w:style w:type="character" w:styleId="ListLabel76">
    <w:name w:val="ListLabel 76"/>
    <w:qFormat/>
    <w:rPr>
      <w:b/>
    </w:rPr>
  </w:style>
  <w:style w:type="character" w:styleId="ListLabel77">
    <w:name w:val="ListLabel 77"/>
    <w:qFormat/>
    <w:rPr>
      <w:b w:val="false"/>
      <w:i w:val="false"/>
      <w:iCs/>
    </w:rPr>
  </w:style>
  <w:style w:type="character" w:styleId="ListLabel78">
    <w:name w:val="ListLabel 78"/>
    <w:qFormat/>
    <w:rPr>
      <w:rFonts w:cs="Arial"/>
      <w:b w:val="false"/>
      <w:i w:val="false"/>
      <w:iCs/>
      <w:color w:val="00000A"/>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b w:val="false"/>
      <w:i w:val="false"/>
      <w:iCs/>
      <w:color w:val="00000A"/>
    </w:rPr>
  </w:style>
  <w:style w:type="character" w:styleId="ListLabel82">
    <w:name w:val="ListLabel 82"/>
    <w:qFormat/>
    <w:rPr>
      <w:rFonts w:ascii="Arial" w:hAnsi="Arial"/>
      <w:b/>
    </w:rPr>
  </w:style>
  <w:style w:type="character" w:styleId="ListLabel83">
    <w:name w:val="ListLabel 83"/>
    <w:qFormat/>
    <w:rPr>
      <w:rFonts w:ascii="Arial" w:hAnsi="Arial"/>
      <w:b/>
      <w:i w:val="false"/>
      <w:iCs/>
    </w:rPr>
  </w:style>
  <w:style w:type="character" w:styleId="ListLabel84">
    <w:name w:val="ListLabel 84"/>
    <w:qFormat/>
    <w:rPr>
      <w:rFonts w:cs="Arial"/>
      <w:b/>
      <w:i w:val="false"/>
      <w:iCs/>
      <w:color w:val="00000A"/>
    </w:rPr>
  </w:style>
  <w:style w:type="character" w:styleId="ListLabel85">
    <w:name w:val="ListLabel 85"/>
    <w:qFormat/>
    <w:rPr>
      <w:rFonts w:ascii="Arial" w:hAnsi="Arial"/>
      <w:b/>
    </w:rPr>
  </w:style>
  <w:style w:type="character" w:styleId="ListLabel86">
    <w:name w:val="ListLabel 86"/>
    <w:qFormat/>
    <w:rPr>
      <w:rFonts w:ascii="Arial" w:hAnsi="Arial"/>
      <w:b/>
    </w:rPr>
  </w:style>
  <w:style w:type="character" w:styleId="ListLabel87">
    <w:name w:val="ListLabel 87"/>
    <w:qFormat/>
    <w:rPr>
      <w:b/>
    </w:rPr>
  </w:style>
  <w:style w:type="character" w:styleId="ListLabel88">
    <w:name w:val="ListLabel 88"/>
    <w:qFormat/>
    <w:rPr>
      <w:b w:val="false"/>
      <w:i w:val="false"/>
      <w:iCs/>
    </w:rPr>
  </w:style>
  <w:style w:type="character" w:styleId="ListLabel89">
    <w:name w:val="ListLabel 89"/>
    <w:qFormat/>
    <w:rPr>
      <w:rFonts w:cs="Arial"/>
      <w:b w:val="false"/>
      <w:i w:val="false"/>
      <w:iCs/>
      <w:color w:val="00000A"/>
    </w:rPr>
  </w:style>
  <w:style w:type="character" w:styleId="ListLabel90">
    <w:name w:val="ListLabel 90"/>
    <w:qFormat/>
    <w:rPr>
      <w:b/>
    </w:rPr>
  </w:style>
  <w:style w:type="character" w:styleId="ListLabel91">
    <w:name w:val="ListLabel 91"/>
    <w:qFormat/>
    <w:rPr>
      <w:b w:val="false"/>
      <w:i w:val="false"/>
      <w:iCs/>
    </w:rPr>
  </w:style>
  <w:style w:type="character" w:styleId="ListLabel92">
    <w:name w:val="ListLabel 92"/>
    <w:qFormat/>
    <w:rPr>
      <w:b w:val="false"/>
      <w:i w:val="false"/>
      <w:iCs/>
      <w:color w:val="00000A"/>
    </w:rPr>
  </w:style>
  <w:style w:type="character" w:styleId="ListLabel93">
    <w:name w:val="ListLabel 93"/>
    <w:qFormat/>
    <w:rPr>
      <w:rFonts w:ascii="Arial" w:hAnsi="Arial"/>
      <w:b/>
    </w:rPr>
  </w:style>
  <w:style w:type="character" w:styleId="ListLabel94">
    <w:name w:val="ListLabel 94"/>
    <w:qFormat/>
    <w:rPr>
      <w:rFonts w:ascii="Arial" w:hAnsi="Arial"/>
      <w:b/>
      <w:i w:val="false"/>
      <w:iCs/>
    </w:rPr>
  </w:style>
  <w:style w:type="character" w:styleId="ListLabel95">
    <w:name w:val="ListLabel 95"/>
    <w:qFormat/>
    <w:rPr>
      <w:rFonts w:cs="Arial"/>
      <w:b/>
      <w:i w:val="false"/>
      <w:iCs/>
      <w:color w:val="00000A"/>
    </w:rPr>
  </w:style>
  <w:style w:type="character" w:styleId="ListLabel96">
    <w:name w:val="ListLabel 96"/>
    <w:qFormat/>
    <w:rPr>
      <w:rFonts w:ascii="Arial" w:hAnsi="Arial"/>
      <w:b/>
    </w:rPr>
  </w:style>
  <w:style w:type="character" w:styleId="ListLabel97">
    <w:name w:val="ListLabel 97"/>
    <w:qFormat/>
    <w:rPr>
      <w:rFonts w:ascii="Arial" w:hAnsi="Arial"/>
      <w:b/>
    </w:rPr>
  </w:style>
  <w:style w:type="character" w:styleId="ListLabel98">
    <w:name w:val="ListLabel 98"/>
    <w:qFormat/>
    <w:rPr>
      <w:b/>
    </w:rPr>
  </w:style>
  <w:style w:type="character" w:styleId="ListLabel99">
    <w:name w:val="ListLabel 99"/>
    <w:qFormat/>
    <w:rPr>
      <w:b w:val="false"/>
      <w:i w:val="false"/>
      <w:iCs/>
    </w:rPr>
  </w:style>
  <w:style w:type="character" w:styleId="ListLabel100">
    <w:name w:val="ListLabel 100"/>
    <w:qFormat/>
    <w:rPr>
      <w:rFonts w:cs="Arial"/>
      <w:b w:val="false"/>
      <w:i w:val="false"/>
      <w:iCs/>
      <w:color w:val="00000A"/>
    </w:rPr>
  </w:style>
  <w:style w:type="character" w:styleId="ListLabel101">
    <w:name w:val="ListLabel 101"/>
    <w:qFormat/>
    <w:rPr>
      <w:b/>
    </w:rPr>
  </w:style>
  <w:style w:type="character" w:styleId="ListLabel102">
    <w:name w:val="ListLabel 102"/>
    <w:qFormat/>
    <w:rPr>
      <w:b w:val="false"/>
      <w:i w:val="false"/>
      <w:iCs/>
    </w:rPr>
  </w:style>
  <w:style w:type="character" w:styleId="ListLabel103">
    <w:name w:val="ListLabel 103"/>
    <w:qFormat/>
    <w:rPr>
      <w:b w:val="false"/>
      <w:i w:val="false"/>
      <w:iCs/>
      <w:color w:val="00000A"/>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00000A"/>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LONormal">
    <w:name w:val="LO-Normal"/>
    <w:qFormat/>
    <w:pPr>
      <w:widowControl w:val="false"/>
      <w:suppressAutoHyphens w:val="true"/>
      <w:bidi w:val="0"/>
      <w:jc w:val="left"/>
    </w:pPr>
    <w:rPr>
      <w:rFonts w:ascii="Calibri" w:hAnsi="Calibri" w:eastAsia="Calibri" w:cs="" w:asciiTheme="minorHAnsi" w:cstheme="minorBidi" w:eastAsiaTheme="minorHAnsi" w:hAnsiTheme="minorHAnsi"/>
      <w:color w:val="00000A"/>
      <w:sz w:val="20"/>
      <w:szCs w:val="22"/>
      <w:lang w:val="pt-BR" w:eastAsia="en-US" w:bidi="ar-SA"/>
    </w:rPr>
  </w:style>
  <w:style w:type="paragraph" w:styleId="NormalWeb">
    <w:name w:val="Normal (Web)"/>
    <w:basedOn w:val="LONormal"/>
    <w:qFormat/>
    <w:pPr>
      <w:widowControl/>
      <w:suppressAutoHyphens w:val="false"/>
      <w:spacing w:lineRule="auto" w:line="288" w:before="100" w:after="142"/>
      <w:textAlignment w:val="auto"/>
    </w:pPr>
    <w:rPr>
      <w:rFonts w:ascii="Times New Roman" w:hAnsi="Times New Roman" w:eastAsia="Times New Roman" w:cs="Times New Roman"/>
      <w:lang w:eastAsia="pt-BR" w:bidi="ar-SA"/>
    </w:rPr>
  </w:style>
  <w:style w:type="paragraph" w:styleId="Standard">
    <w:name w:val="Standard"/>
    <w:qFormat/>
    <w:pPr>
      <w:widowControl/>
      <w:suppressAutoHyphens w:val="true"/>
      <w:bidi w:val="0"/>
      <w:jc w:val="left"/>
    </w:pPr>
    <w:rPr>
      <w:rFonts w:ascii="Times New Roman" w:hAnsi="Times New Roman" w:eastAsia="Times New Roman" w:cs="Times New Roman"/>
      <w:color w:val="00000A"/>
      <w:sz w:val="20"/>
      <w:szCs w:val="20"/>
      <w:lang w:val="pt-BR" w:eastAsia="en-US" w:bidi="ar-SA"/>
    </w:rPr>
  </w:style>
  <w:style w:type="paragraph" w:styleId="Contedodatabela">
    <w:name w:val="Conteúdo da tabela"/>
    <w:basedOn w:val="Standard"/>
    <w:qFormat/>
    <w:pPr>
      <w:suppressLineNumbers/>
      <w:suppressAutoHyphens w:val="true"/>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Application>LibreOffice/5.3.3.2$Windows_x86 LibreOffice_project/3d9a8b4b4e538a85e0782bd6c2d430bafe583448</Application>
  <Pages>16</Pages>
  <Words>5661</Words>
  <Characters>32476</Characters>
  <CharactersWithSpaces>37732</CharactersWithSpaces>
  <Paragraphs>259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2023-03-03T11:02:33Z</cp:lastPrinted>
  <dcterms:modified xsi:type="dcterms:W3CDTF">2023-03-07T16:02:45Z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